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4"/>
        <w:ind w:left="0" w:right="0" w:firstLine="0"/>
        <w:jc w:val="center"/>
        <w:spacing w:before="600" w:after="600" w:line="68" w:lineRule="atLeast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000000"/>
          <w:sz w:val="28"/>
          <w:szCs w:val="24"/>
        </w:rPr>
        <w:t xml:space="preserve">Снабжение электрической энергии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4"/>
        </w:rPr>
        <w:t xml:space="preserve">Нормы качества электроэнергии в системах электроснабжения общего назначения по ГОСТ 32144 – 2013:</w:t>
      </w:r>
      <w:r/>
    </w:p>
    <w:p>
      <w:pPr>
        <w:pStyle w:val="622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Стандартное номинальное напряжение - 220 В.</w:t>
      </w:r>
      <w:r/>
    </w:p>
    <w:p>
      <w:pPr>
        <w:pStyle w:val="622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Отклонения напряжения в точке передачи электрической энергии не должны превышать ±10 % номинального значения напряжения в течение 100 % времени интервала в одну неделю.</w:t>
      </w:r>
      <w:r/>
    </w:p>
    <w:p>
      <w:pPr>
        <w:pStyle w:val="622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Номинальное значение частоты напряжения - 50 Гц.</w:t>
      </w:r>
      <w:r/>
    </w:p>
    <w:p>
      <w:pPr>
        <w:pStyle w:val="622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Отклонение частоты не должно превышать ±0,2 Гц в течение 95% времени интервала в одну неделю и ±0,4 Гц в течение 100% времени интервала в одну неделю.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b/>
          <w:color w:val="212529"/>
          <w:sz w:val="24"/>
        </w:rPr>
        <w:t xml:space="preserve">Допустимая продолжительность перерыва электроснабжения:</w:t>
      </w:r>
      <w:r/>
    </w:p>
    <w:p>
      <w:pPr>
        <w:pStyle w:val="622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2 часа - при наличии двух независимых взаимно резервирующих источников питания.</w:t>
      </w:r>
      <w:r/>
    </w:p>
    <w:p>
      <w:pPr>
        <w:pStyle w:val="622"/>
        <w:numPr>
          <w:ilvl w:val="0"/>
          <w:numId w:val="2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24 часа - при наличии 1 источника питания.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Допустимое число часов отключения в год составляет 72 часа, но не более 24 часов подряд, включая срок восстановления электроснабжения, за исключением случаев, когда для производства ремонта объектов электросетевого хозяйства необходимы более длительные сро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ки, согласованные с Федеральной службой по экологическому, технологическому и атомному надзору. (ПП РФ от 06.05.2011 г. № 354 и ПП РФ от 04.05.2012 г. № 442).</w:t>
      </w:r>
      <w:r/>
    </w:p>
    <w:p>
      <w:pPr>
        <w:ind w:left="0" w:right="0" w:firstLine="0"/>
        <w:jc w:val="both"/>
        <w:spacing w:before="0"/>
        <w:shd w:val="clear" w:color="ffffff" w:fill="ffffff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В случае отсутствия электроснабжения в жилых домах потребители могут получить интересующую их информацию:</w:t>
      </w:r>
      <w:r/>
    </w:p>
    <w:p>
      <w:pPr>
        <w:pStyle w:val="622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в своей управляющей организации, если потребитель проживает в многоквартирном доме;</w:t>
      </w:r>
      <w:r/>
    </w:p>
    <w:p>
      <w:pPr>
        <w:pStyle w:val="622"/>
        <w:numPr>
          <w:ilvl w:val="0"/>
          <w:numId w:val="3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212529"/>
          <w:sz w:val="24"/>
        </w:rPr>
        <w:t xml:space="preserve">в ООО «Башкирэнерго» по телефону оперативной диспетчерской службы, круглосуточно </w:t>
      </w:r>
      <w:r>
        <w:rPr>
          <w:rFonts w:ascii="Liberation Sans" w:hAnsi="Liberation Sans" w:eastAsia="Liberation Sans" w:cs="Liberation Sans"/>
          <w:b/>
          <w:color w:val="212529"/>
          <w:sz w:val="24"/>
        </w:rPr>
        <w:t xml:space="preserve">8-800-234-77-00</w:t>
      </w:r>
      <w:r>
        <w:rPr>
          <w:rFonts w:ascii="Liberation Sans" w:hAnsi="Liberation Sans" w:eastAsia="Liberation Sans" w:cs="Liberation Sans"/>
          <w:color w:val="212529"/>
          <w:sz w:val="24"/>
        </w:rPr>
        <w:t xml:space="preserve">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contextualSpacing/>
      <w:ind w:left="720"/>
    </w:pPr>
  </w:style>
  <w:style w:type="character" w:styleId="62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skornyakova_ey</cp:lastModifiedBy>
  <cp:revision>1</cp:revision>
  <dcterms:modified xsi:type="dcterms:W3CDTF">2026-06-17T09:30:46Z</dcterms:modified>
</cp:coreProperties>
</file>