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240" w:lineRule="auto"/>
        <w:shd w:val="clear" w:color="ffffff" w:fill="ffffff"/>
        <w:rPr>
          <w:sz w:val="28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Информация о лицах (наименованиях организаций), на которых возложены обязанности по обеспечению осуществления функций</w:t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Порядок оснащения энергопринимающих устройств юридических лиц приборами учёта электрической энергии регламентирован Постановлением Правительства РФ от 04.05.2012 № 442 Основные положения функционирования розничных рынков электрической энергии.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Согласно п. 136 Основных положений гарантирующие поставщики и сетевые организации обеспечивают коммерческий учёт электрической энергии (мощности) на розничных рынках, в том числе путём приобретения, установки, замены, допуска в эксплуатацию приборов учёта 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электрической энергии и (или) иного оборудования, а также нематериальных активов, которые необходимы для обеспечения коммерческого учёта электрической энергии (мощности), и последующей их эксплуатации, том числе посредством интеллектуальных систем учёта эл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ектрической энергии (мощности):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· при отсутствии, выходе из строя, утрате, истечении срока эксплуатации или истечении интервала между поверками приборов учёта электрической энергии и (или) иного оборудования, которые используются для коммерческого учёта электрической энергии (мощности), 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в том числе не принадлежащих сетевой организации (гарантирующему поставщику);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· в процессе технологического присоединения энергопринимающих устройств (объектов электросетевого хозяйства, объектов по производству электрической энергии (мощности)), за исключением установленных Федеральным законом «Об электроэнергетике» случаев оснащен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ия вводимых в эксплуатацию многоквартирных жилых домов индивидуальными, общими (для коммунальной квартиры) и коллективными (общедомовыми) приборами учёта электрической энергии, которые обеспечивают возможность их присоединения к интеллектуальным системам у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чёта электрической энергии (мощности).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Сетевые организации обеспечивают коммерческий учёт электрической энергии (мощности) в отношении непосредственно или опосредованно присоединённых к принадлежащим им на праве собственности или ином законном основании объектам электросетевого хозяйства, энерг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опринимающих устройств потребителей электрической энергии (мощности) (за исключением установки и замены коллективных (общедомовых) приборов учёта электрической энергии), приобретающих электрическую энергию на розничных рынках, объектов по производству элек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трической энергии (мощности) на розничных рынках и объектов электросетевого хозяйства.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Гарантирующие поставщики обеспечивают коммерческий учёт электрической энергии (мощности) на розничных рынках в отношении расположенных в их зоне деятельности многоквартирных домов (за исключением помещений многоквартирных домов, электроснабжение которыос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уществляется без использования общего имущества), включая установку коллективных (общедомовых) приборов учёта электрической энергии.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Сведения о сетевых организациях (в зависимости от технологического присоединения энергопринимающего оборудования потребителя):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                                                                                                                </w:t>
      </w:r>
      <w:r/>
    </w:p>
    <w:tbl>
      <w:tblPr>
        <w:tblStyle w:val="49"/>
        <w:tblW w:w="0" w:type="auto"/>
        <w:tblInd w:w="-56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402"/>
        <w:gridCol w:w="2552"/>
      </w:tblGrid>
      <w:tr>
        <w:tblPrEx/>
        <w:trPr/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Полное наименование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Адрес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Переход на официальный сайт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Общество с ограниченной</w:t>
              <w:br/>
              <w:t xml:space="preserve"> ответственностью "Газпром энерго"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450038, Республика</w:t>
              <w:br/>
              <w:t xml:space="preserve">Башкортостан, г. Уфа, ул.</w:t>
              <w:br/>
              <w:t xml:space="preserve">Интернациональная,</w:t>
              <w:br/>
              <w:t xml:space="preserve">д. 133А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hyperlink r:id="rId9" w:tooltip="https://gazpromenergo.gazprom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https://</w:t>
              </w:r>
            </w:hyperlink>
            <w:hyperlink r:id="rId10" w:tooltip="https://gazpromenergo.gazprom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gazpromenergo.gazprom.ru/</w:t>
              </w:r>
            </w:hyperlink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Акционерное общество</w:t>
              <w:br/>
              <w:t xml:space="preserve">"Башкирские электрические сети"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    452920, Республика Башкортостан, г. Агидель, ул.</w:t>
              <w:br/>
              <w:t xml:space="preserve">Цветочный бульвар, 5           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11" w:tooltip="http://bashels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http://bashels.ru/</w:t>
              </w:r>
            </w:hyperlink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Общество с ограниченной</w:t>
              <w:br/>
              <w:t xml:space="preserve">ответственностью "ЭНЕРГИЯ-</w:t>
              <w:br/>
              <w:t xml:space="preserve">ПЛЮС"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450068, Республика</w:t>
              <w:br/>
              <w:t xml:space="preserve">Башкортостан, г.</w:t>
              <w:br/>
              <w:t xml:space="preserve">Уфа, ул. Б.</w:t>
              <w:br/>
              <w:t xml:space="preserve">Хмельницкого, 2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12" w:tooltip="http://xn----etbfnqhseo5itai.xn--p1ai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http://энергия-плюс.рф</w:t>
              </w:r>
            </w:hyperlink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Общество с ограниченной</w:t>
              <w:br/>
              <w:t xml:space="preserve">ответственностью</w:t>
              <w:br/>
              <w:t xml:space="preserve">"Давлекановская сетевая</w:t>
              <w:br/>
              <w:t xml:space="preserve">компания"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453402, Республика Башкортостан, г.</w:t>
              <w:br/>
              <w:t xml:space="preserve">Давлеканово, ул.</w:t>
              <w:br/>
              <w:t xml:space="preserve">Гагарина, 145, Почтовый</w:t>
              <w:br/>
              <w:t xml:space="preserve">Иглинский район, с.</w:t>
              <w:br/>
              <w:t xml:space="preserve">Иглино, ул. Строителей, д.1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13" w:tooltip="http://davl-skrb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http://davl-skrb.ru/</w:t>
              </w:r>
            </w:hyperlink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Акционерное общество</w:t>
              <w:br/>
              <w:t xml:space="preserve">"Туймазинские городские</w:t>
              <w:br/>
              <w:t xml:space="preserve">электрические сети"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452756, Республика</w:t>
              <w:br/>
              <w:t xml:space="preserve">Башкортостан, г. Туймазы, ул.</w:t>
              <w:br/>
              <w:t xml:space="preserve">Советская, 2А 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14" w:tooltip="http://www.aotges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http://www.aotges.ru</w:t>
              </w:r>
            </w:hyperlink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Государственное унитарное</w:t>
              <w:br/>
              <w:t xml:space="preserve">предприятие "Региональные</w:t>
              <w:br/>
              <w:t xml:space="preserve">электрические сети" Республики</w:t>
              <w:br/>
              <w:t xml:space="preserve">Башкортостан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452684, Республика</w:t>
              <w:br/>
              <w:t xml:space="preserve">Башкортостан, г.</w:t>
              <w:br/>
              <w:t xml:space="preserve">Нефтекамск, ул.</w:t>
              <w:br/>
              <w:t xml:space="preserve">Высоковольтная, д. 5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15" w:tooltip="https://gupres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https://gupres.ru/</w:t>
              </w:r>
            </w:hyperlink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Открытое акционерное общество</w:t>
              <w:br/>
              <w:t xml:space="preserve">Балтачевское "Сельэнерго"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452980, РФ. Республика</w:t>
              <w:br/>
              <w:t xml:space="preserve">Башкортостан, Балтачевский</w:t>
              <w:br/>
              <w:t xml:space="preserve">район, с. Старобалтачево, ул.</w:t>
              <w:br/>
              <w:t xml:space="preserve">Гагарина, 22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16" w:tooltip="http://baltachevo-energo.ru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http://baltachevo-energo.ru/</w:t>
              </w:r>
            </w:hyperlink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Муниципальное унитарное</w:t>
              <w:br/>
              <w:t xml:space="preserve">предприятие жилищно-коммунального</w:t>
              <w:br/>
              <w:t xml:space="preserve">хозяйства города</w:t>
              <w:br/>
              <w:t xml:space="preserve">Межгорье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453571, Республика Башкортостан, г.</w:t>
              <w:br/>
              <w:t xml:space="preserve">Межгорье-1, ул. 40</w:t>
              <w:br/>
              <w:t xml:space="preserve">лет Победы, д. 60</w:t>
              <w:br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hyperlink r:id="rId17" w:tooltip="http://xn----etbfbdd2ajvu3d5d.xn--p1ai/" w:history="1">
              <w:r>
                <w:rPr>
                  <w:rStyle w:val="175"/>
                  <w:rFonts w:ascii="Liberation Sans" w:hAnsi="Liberation Sans" w:eastAsia="Liberation Sans" w:cs="Liberation Sans"/>
                  <w:color w:val="004780"/>
                  <w:sz w:val="22"/>
                  <w:szCs w:val="20"/>
                  <w:u w:val="none"/>
                </w:rPr>
                <w:t xml:space="preserve">https://xn----etbfbdd2ajvu3d5d.xn--p1ai/</w:t>
              </w:r>
            </w:hyperlink>
            <w:r>
              <w:rPr>
                <w:sz w:val="20"/>
                <w:szCs w:val="20"/>
              </w:rPr>
            </w:r>
          </w:p>
        </w:tc>
      </w:tr>
    </w:tbl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По вопросам установки коллективных (общедомовых) приборов учёта электроэнергии необходимо обращаться в офисы обслуживания ООО «ЭСКБ».</w:t>
      </w:r>
      <w:r/>
    </w:p>
    <w:p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gazpromenergo.gazprom.ru/" TargetMode="External"/><Relationship Id="rId10" Type="http://schemas.openxmlformats.org/officeDocument/2006/relationships/hyperlink" Target="https://gazpromenergo.gazprom.ru/" TargetMode="External"/><Relationship Id="rId11" Type="http://schemas.openxmlformats.org/officeDocument/2006/relationships/hyperlink" Target="http://bashels.ru/" TargetMode="External"/><Relationship Id="rId12" Type="http://schemas.openxmlformats.org/officeDocument/2006/relationships/hyperlink" Target="http://xn----etbfnqhseo5itai.xn--p1ai/" TargetMode="External"/><Relationship Id="rId13" Type="http://schemas.openxmlformats.org/officeDocument/2006/relationships/hyperlink" Target="http://davl-skrb.ru/" TargetMode="External"/><Relationship Id="rId14" Type="http://schemas.openxmlformats.org/officeDocument/2006/relationships/hyperlink" Target="http://www.aotges.ru/" TargetMode="External"/><Relationship Id="rId15" Type="http://schemas.openxmlformats.org/officeDocument/2006/relationships/hyperlink" Target="https://gupres.ru/" TargetMode="External"/><Relationship Id="rId16" Type="http://schemas.openxmlformats.org/officeDocument/2006/relationships/hyperlink" Target="http://baltachevo-energo.ru/" TargetMode="External"/><Relationship Id="rId17" Type="http://schemas.openxmlformats.org/officeDocument/2006/relationships/hyperlink" Target="http://xn----etbfbdd2ajvu3d5d.xn--p1a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2026-06-18T08:51:59Z</dcterms:modified>
</cp:coreProperties>
</file>