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9B3DC" w14:textId="77777777" w:rsidR="000906DE" w:rsidRPr="007F771E" w:rsidRDefault="000906DE" w:rsidP="00F73EF2">
      <w:pPr>
        <w:autoSpaceDE w:val="0"/>
        <w:autoSpaceDN w:val="0"/>
        <w:adjustRightInd w:val="0"/>
        <w:spacing w:after="0" w:line="240" w:lineRule="auto"/>
        <w:jc w:val="both"/>
        <w:rPr>
          <w:rFonts w:ascii="Times New Roman" w:hAnsi="Times New Roman" w:cs="Times New Roman"/>
          <w:sz w:val="18"/>
          <w:szCs w:val="18"/>
        </w:rPr>
      </w:pPr>
    </w:p>
    <w:p w14:paraId="318489F1" w14:textId="77777777" w:rsidR="000906DE" w:rsidRPr="007F771E" w:rsidRDefault="000906DE" w:rsidP="000906DE">
      <w:pPr>
        <w:autoSpaceDE w:val="0"/>
        <w:autoSpaceDN w:val="0"/>
        <w:adjustRightInd w:val="0"/>
        <w:jc w:val="both"/>
        <w:rPr>
          <w:rFonts w:ascii="Times New Roman" w:hAnsi="Times New Roman" w:cs="Times New Roman"/>
          <w:b/>
          <w:color w:val="000000" w:themeColor="text1"/>
          <w:sz w:val="18"/>
          <w:szCs w:val="18"/>
        </w:rPr>
      </w:pPr>
      <w:r w:rsidRPr="007F771E">
        <w:rPr>
          <w:rFonts w:ascii="Times New Roman" w:hAnsi="Times New Roman" w:cs="Times New Roman"/>
          <w:b/>
          <w:color w:val="000000" w:themeColor="text1"/>
          <w:sz w:val="18"/>
          <w:szCs w:val="18"/>
        </w:rPr>
        <w:t>Информация об установленных "Основными положениями функционирования розничных рынков электрической энергии" утвержденных Постановлением Правительства РФ от 04.05.2012 N 442 (далее – ОПФРРЭЭ) расчетных способах, подлежащих применению в случаях отсутствия прибора учета, недопуска к прибору учета для целей проведения контрольного снятия его показаний, проведения проверки его состояния, а также в случаях непредоставления показаний приборов учета и выявления фактов безучетного и бездоговорного потребления электрической энергии.</w:t>
      </w:r>
    </w:p>
    <w:p w14:paraId="44ACC0F6"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3273721D"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11ED86B9"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179. В случаях отсутствия, неисправности, утраты или истечения интервала между поверками, истечения срока эксплуатации расчетного прибора учета, непредставления показаний расчетного прибора учета в установленные сроки, а также отсутствия контрольного прибора учета определение объема потребления электрической энергии для расчета за потребленную электрическую энергию (мощность) и оказанные услуги по передаче электрической энергии производится на основании замещающей информации с учетом особенностей, указанных в </w:t>
      </w:r>
      <w:hyperlink r:id="rId4" w:history="1">
        <w:r w:rsidRPr="007F771E">
          <w:rPr>
            <w:rFonts w:ascii="Times New Roman" w:hAnsi="Times New Roman" w:cs="Times New Roman"/>
            <w:color w:val="0000FF"/>
            <w:sz w:val="18"/>
            <w:szCs w:val="18"/>
          </w:rPr>
          <w:t>пункте 136</w:t>
        </w:r>
      </w:hyperlink>
      <w:r w:rsidRPr="007F771E">
        <w:rPr>
          <w:rFonts w:ascii="Times New Roman" w:hAnsi="Times New Roman" w:cs="Times New Roman"/>
          <w:sz w:val="18"/>
          <w:szCs w:val="18"/>
        </w:rPr>
        <w:t xml:space="preserve"> настоящего документа.</w:t>
      </w:r>
    </w:p>
    <w:p w14:paraId="605625EC"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180. В случаях отсутствия, неисправности, утраты или истечения интервала между поверками, истечения срока эксплуатации расчетного прибора учета, используемого для определения объема производства электрической энергии (мощности) на розничном рынке, и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 с учетом особенностей, указанных в </w:t>
      </w:r>
      <w:hyperlink r:id="rId5" w:history="1">
        <w:r w:rsidRPr="007F771E">
          <w:rPr>
            <w:rFonts w:ascii="Times New Roman" w:hAnsi="Times New Roman" w:cs="Times New Roman"/>
            <w:color w:val="0000FF"/>
            <w:sz w:val="18"/>
            <w:szCs w:val="18"/>
          </w:rPr>
          <w:t>пункте 136</w:t>
        </w:r>
      </w:hyperlink>
      <w:r w:rsidRPr="007F771E">
        <w:rPr>
          <w:rFonts w:ascii="Times New Roman" w:hAnsi="Times New Roman" w:cs="Times New Roman"/>
          <w:sz w:val="18"/>
          <w:szCs w:val="18"/>
        </w:rPr>
        <w:t xml:space="preserve"> настоящего документа:</w:t>
      </w:r>
    </w:p>
    <w:p w14:paraId="63F9A9D8"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для 1-го и последующих часов первого расчетного периода определяется с использованием замещающей информации;</w:t>
      </w:r>
    </w:p>
    <w:p w14:paraId="7BF5BEDF"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начиная с 1-го дня второго расчетного периода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14:paraId="1DA8776F"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В случаях непредставления показаний расчетного прибора учета в установленные сроки, используемого для определения объема производства электрической энергии (мощности) на розничном рынке, и при этом отсутствия контрольного прибора учета объем производства электрической энергии (мощности) начиная с даты, когда наступили указанные события, определяется в следующем порядке:</w:t>
      </w:r>
    </w:p>
    <w:p w14:paraId="62FAB211"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если расчетный прибор учета установлен в границах объекта по производству электрической энергии (мощности) на розничном рынке и не присоединен к интеллектуальной системе учета электрической энергии (мощности) сетевой организации, то объем производства электрической энергии (мощности), в том числе почасовые объемы производства электрической энергии, считается равным нулю;</w:t>
      </w:r>
    </w:p>
    <w:p w14:paraId="468E20B9"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в иных случаях объем производства электрической энергии (мощности) за соответствующий час определяется исходя из значений замещающей информации, увеличенных на коэффициент отношения максимальной мощности и максимального значения объемов производства электрической энергии в какой-либо час за истекший год, определенных на основании имеющихся показаний расчетных приборов учета.</w:t>
      </w:r>
    </w:p>
    <w:p w14:paraId="558A3E49"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bookmarkStart w:id="0" w:name="Par9"/>
      <w:bookmarkEnd w:id="0"/>
      <w:r w:rsidRPr="007F771E">
        <w:rPr>
          <w:rFonts w:ascii="Times New Roman" w:hAnsi="Times New Roman" w:cs="Times New Roman"/>
          <w:sz w:val="18"/>
          <w:szCs w:val="18"/>
        </w:rPr>
        <w:t>181. При непредставлении показаний расчетного прибора учета, установленного в границах объектов электросетевого хозяйства сетевой организации или включенного в интеллектуальную систему учета электрической энергии (мощности) сетевой организации, 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14:paraId="338451A2"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объем электрической энергии, принятой в объекты электросетевого хозяйства сетевой организации, определяется исходя из максимальных среднесуточных значений за месяц, в котором было зафиксировано наибольшее поступление объема электрической энергии в сеть по соответствующей точке поставки за прошедший год;</w:t>
      </w:r>
    </w:p>
    <w:p w14:paraId="763C88E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объем электрической энергии, отпущенной из объектов электросетевого хозяйства сетевой организации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электрической энергии из сети по соответствующей точке поставки за прошедший год.</w:t>
      </w:r>
    </w:p>
    <w:p w14:paraId="0B5C9941"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В случае неисправности, утраты, истечения срока интервала между поверками расчетного прибора учета, который установлен в границах объектов электросетевого хозяйства сетевой организации и исходя из показаний которого определяются объемы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и отсутствия контрольного прибора учета определение объемов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начиная с даты, когда наступили указанные события, определяется следующим образом:</w:t>
      </w:r>
    </w:p>
    <w:p w14:paraId="7A7000FE"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lastRenderedPageBreak/>
        <w:t>в течение первых 2 расчетных периодов - исходя из показаний расчетного прибора учета за аналогичный расчетный период предыдущего года, а если период работы расчетного прибора учета составил менее одного года - исходя из показаний расчетного прибора учета за предыдущий расчетный период;</w:t>
      </w:r>
    </w:p>
    <w:p w14:paraId="35E2FAD3"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начиная с 3-го расчетного периода вплоть до даты установки и допуска в эксплуатацию расчетного прибора учета - расчетным способом, предусмотренным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14:paraId="5FBD2F8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При отсутствии прибора учета в случаях, когда в соответствии с настоящим документом он должен быть установлен в границах объектов электросетевого хозяйства сетевой организации, и при отсутствии контрольного прибора учета объем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электрической энергии определяется вплоть до даты допуска прибора учета в эксплуатацию в порядке, предусмотренном настоящим пунктом для случая непредставления показаний расчетного прибора учета в установленные сроки при отсутствии контрольного прибора учета.</w:t>
      </w:r>
    </w:p>
    <w:p w14:paraId="77D4C400"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182. В случае двукратного недопуска к расчетному прибору учета, установленному в границах энергопринимающих устройств потребителя, в том числе в отношении точек поставки для лиц, опосредованно присоединенных через объекты такого потребителя электрической энергии, для проведения контрольного снятия показаний и (или) для проведения проверки приборов учета объем потребления и оказанных услуг по передаче электрической энергии с даты 2-го недопуска вплоть до даты допуска к расчетному прибору учета определяется исходя из увеличенных в 1,5 раза значений, определенных на основании контрольного прибора учета, в соответствии с </w:t>
      </w:r>
      <w:hyperlink r:id="rId6" w:history="1">
        <w:r w:rsidRPr="007F771E">
          <w:rPr>
            <w:rFonts w:ascii="Times New Roman" w:hAnsi="Times New Roman" w:cs="Times New Roman"/>
            <w:color w:val="0000FF"/>
            <w:sz w:val="18"/>
            <w:szCs w:val="18"/>
          </w:rPr>
          <w:t>пунктом 164</w:t>
        </w:r>
      </w:hyperlink>
      <w:r w:rsidRPr="007F771E">
        <w:rPr>
          <w:rFonts w:ascii="Times New Roman" w:hAnsi="Times New Roman" w:cs="Times New Roman"/>
          <w:sz w:val="18"/>
          <w:szCs w:val="18"/>
        </w:rPr>
        <w:t xml:space="preserve"> настоящего документа, а при его отсутствии - исходя из увеличенных в 1,5 раза значений, определенных на основании замещающей информации.</w:t>
      </w:r>
    </w:p>
    <w:p w14:paraId="3870272A"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В случае двукратного недопуска к расчетному прибору учета, установленному в границах объектов по производству электрической энергии (мощности) производителя электрической энергии (мощности) на розничном рынке, в том числе в отношении точек поставки иных лиц, опосредованно присоединенных через объекты по производству электрической энергии (мощности), для проведения контрольного снятия показаний и (или) проведения проверки прибора учета при отсутствии контрольного прибора учета объемы производства электрической энергии (мощности), в том числе почасовые объемы производства электрической энергии, начиная с даты второго недопуска вплоть до даты допуска к расчетному прибору учета, считаются равными нулю.</w:t>
      </w:r>
    </w:p>
    <w:p w14:paraId="419B572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В случае двукратного недопуска к расчетному прибору учета, установленному в границах объектов электросетевого хозяйства сетевой организации, при отсутствии контрольного прибора учета объем электрической энергии, принятой в объекты электросетевого хозяйства (отпущенной из объектов электросетевого хозяйства в объекты электросетевого хозяйства смежных сетевых организаций), определяется, начиная с даты второго недопуска вплоть до даты допуска к расчетному прибору учета, следующим образом:</w:t>
      </w:r>
    </w:p>
    <w:p w14:paraId="7F6AD498"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объем электрической энергии, принятой в объекты электросетевого хозяйства сетевой организации, которая не передала показания, определяется исходя из максимальных среднесуточных значений за месяц, в котором было зафиксировано наибольшее поступление в сеть по соответствующей точке поставки за прошедший год;</w:t>
      </w:r>
    </w:p>
    <w:p w14:paraId="406AC73A"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объем электрической энергии, отпущенной из объектов электросетевого хозяйства сетевой организации, которая не передала показания, в объекты электросетевого хозяйства смежных сетевых организаций, определяется по минимальным среднесуточным значениям за месяц, в котором был зафиксирован наименьший отпуск из сети по соответствующей точке поставки за прошедший год.</w:t>
      </w:r>
    </w:p>
    <w:p w14:paraId="5B69C739"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183. В случае снятия показаний приборов учета за период времени (его часть), в течение которого объем электрической энергии был определен в порядке, предусмотренном </w:t>
      </w:r>
      <w:hyperlink w:anchor="Par0" w:history="1">
        <w:r w:rsidRPr="007F771E">
          <w:rPr>
            <w:rFonts w:ascii="Times New Roman" w:hAnsi="Times New Roman" w:cs="Times New Roman"/>
            <w:color w:val="0000FF"/>
            <w:sz w:val="18"/>
            <w:szCs w:val="18"/>
          </w:rPr>
          <w:t>пунктами 179</w:t>
        </w:r>
      </w:hyperlink>
      <w:r w:rsidRPr="007F771E">
        <w:rPr>
          <w:rFonts w:ascii="Times New Roman" w:hAnsi="Times New Roman" w:cs="Times New Roman"/>
          <w:sz w:val="18"/>
          <w:szCs w:val="18"/>
        </w:rPr>
        <w:t xml:space="preserve"> - </w:t>
      </w:r>
      <w:hyperlink w:anchor="Par9" w:history="1">
        <w:r w:rsidRPr="007F771E">
          <w:rPr>
            <w:rFonts w:ascii="Times New Roman" w:hAnsi="Times New Roman" w:cs="Times New Roman"/>
            <w:color w:val="0000FF"/>
            <w:sz w:val="18"/>
            <w:szCs w:val="18"/>
          </w:rPr>
          <w:t>181</w:t>
        </w:r>
      </w:hyperlink>
      <w:r w:rsidRPr="007F771E">
        <w:rPr>
          <w:rFonts w:ascii="Times New Roman" w:hAnsi="Times New Roman" w:cs="Times New Roman"/>
          <w:sz w:val="18"/>
          <w:szCs w:val="18"/>
        </w:rPr>
        <w:t xml:space="preserve"> настоящего документа, разница между объемом, определенным по показаниям прибора учета, и объемом, определенным в предусмотренном указанными пунктами порядке, учитывается равномерно по всем часам при определении объема электрической энергии за расчетный период, в котором были сняты соответствующие показания.</w:t>
      </w:r>
    </w:p>
    <w:p w14:paraId="040CB6AB"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184. В случае истечения интервала между поверками измерительного трансформатора, используемого для обеспечения коммерческого учета электрической энергии в составе измерительного комплекса,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как объем потребления (производства) электрической энергии, определенный на основании показаний прибора учета, входящего в соответствующий измерительный комплекс.</w:t>
      </w:r>
    </w:p>
    <w:p w14:paraId="76C8733E"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Если в соответствии с настоящим документом приобретение, установку, замену и эксплуатацию такого измерительного трансформатора, используемого для обеспечения коммерческого учета электрической энергии в составе измерительного комплекса, осуществляет не сетевая организация или гарантирующий поставщик, то объем потребления (производства) электрической энергии для расчета за потребленную (произведенную) электрическую энергию (мощность) и оказанные услуги по передаче электрической энергии определяется в следующем порядке:</w:t>
      </w:r>
    </w:p>
    <w:p w14:paraId="02FA096A"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для 1-го и последующих часов первого расчетного периода определяется с использованием замещающей информации;</w:t>
      </w:r>
    </w:p>
    <w:p w14:paraId="4D47CC99"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lastRenderedPageBreak/>
        <w:t>начиная с 1-го дня второго расчетного периода объем потребления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1,5, объем произведенной электрической энергии, определяется на основании показаний прибора учета, входящего в соответствующий измерительный комплекс, и умножается на коэффициент 0,5.</w:t>
      </w:r>
    </w:p>
    <w:p w14:paraId="5680E00D"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185. В отсутствие приборов учета у потребителей, максимальная мощность энергопринимающих устройств которых в соответствии с документами о технологическом присоединении менее 5 кВт, объем потребления электрической энергии рассчитывается сетевой организацией на основании расчетного способа, определенного в договоре энергоснабжения (купли-продажи (поставки) электрической энергии (мощности) и (или) оказания услуг по передаче электрической энергии), а при отсутствии такого расчетного способа - исходя из характерных для указанных потребителей (энергопринимающих устройств) объемов потребления электрической энергии за определенный период времени, которые определяются исходя из совокупных объемов потребления на основе величины максимальной мощности энергопринимающих устройств потребителя и стандартного количества часов их использования.</w:t>
      </w:r>
    </w:p>
    <w:p w14:paraId="292034BB"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186. Расчет объема безучетного потребления или бездоговорного потребления электрической энергии осуществляется сетевой организацией в соответствии с </w:t>
      </w:r>
      <w:hyperlink w:anchor="Par1" w:history="1">
        <w:r w:rsidRPr="007F771E">
          <w:rPr>
            <w:rFonts w:ascii="Times New Roman" w:hAnsi="Times New Roman" w:cs="Times New Roman"/>
            <w:color w:val="0000FF"/>
            <w:sz w:val="18"/>
            <w:szCs w:val="18"/>
          </w:rPr>
          <w:t>пунктом 187</w:t>
        </w:r>
      </w:hyperlink>
      <w:r w:rsidRPr="007F771E">
        <w:rPr>
          <w:rFonts w:ascii="Times New Roman" w:hAnsi="Times New Roman" w:cs="Times New Roman"/>
          <w:sz w:val="18"/>
          <w:szCs w:val="18"/>
        </w:rPr>
        <w:t xml:space="preserve"> или </w:t>
      </w:r>
      <w:hyperlink w:anchor="Par13" w:history="1">
        <w:r w:rsidRPr="007F771E">
          <w:rPr>
            <w:rFonts w:ascii="Times New Roman" w:hAnsi="Times New Roman" w:cs="Times New Roman"/>
            <w:color w:val="0000FF"/>
            <w:sz w:val="18"/>
            <w:szCs w:val="18"/>
          </w:rPr>
          <w:t>189</w:t>
        </w:r>
      </w:hyperlink>
      <w:r w:rsidRPr="007F771E">
        <w:rPr>
          <w:rFonts w:ascii="Times New Roman" w:hAnsi="Times New Roman" w:cs="Times New Roman"/>
          <w:sz w:val="18"/>
          <w:szCs w:val="18"/>
        </w:rPr>
        <w:t xml:space="preserve"> настоящего документа в течение 2 рабочих дней со дня составления акта о неучтенном потреблении электрической энергии на основании материалов проверки (акта о неучтенном потреблении электрической энергии, акта предыдущей проверки приборов учета), а также на основании документов, представленных потребителем, осуществляющим безучетное потребление (обслуживающим его гарантирующим поставщиком (энергосбытовой, энергоснабжающей организацией), или лицом, осуществляющим бездоговорное потребление электрической энергии. Расчет объема безучетного потребления направляется сетевой организацией гарантирующему поставщику (энергосбытовой, энергоснабжающей организации), обслуживающему потребителя, осуществляющего безучетное потребление, вместе с актом о неучтенном потреблении электрической энергии в срок, установленный </w:t>
      </w:r>
      <w:hyperlink r:id="rId7" w:history="1">
        <w:r w:rsidRPr="007F771E">
          <w:rPr>
            <w:rFonts w:ascii="Times New Roman" w:hAnsi="Times New Roman" w:cs="Times New Roman"/>
            <w:color w:val="0000FF"/>
            <w:sz w:val="18"/>
            <w:szCs w:val="18"/>
          </w:rPr>
          <w:t>пунктом 177</w:t>
        </w:r>
      </w:hyperlink>
      <w:r w:rsidRPr="007F771E">
        <w:rPr>
          <w:rFonts w:ascii="Times New Roman" w:hAnsi="Times New Roman" w:cs="Times New Roman"/>
          <w:sz w:val="18"/>
          <w:szCs w:val="18"/>
        </w:rPr>
        <w:t xml:space="preserve"> настоящего документа.</w:t>
      </w:r>
    </w:p>
    <w:p w14:paraId="5393B3E3"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bookmarkStart w:id="1" w:name="Par1"/>
      <w:bookmarkEnd w:id="1"/>
      <w:r w:rsidRPr="007F771E">
        <w:rPr>
          <w:rFonts w:ascii="Times New Roman" w:hAnsi="Times New Roman" w:cs="Times New Roman"/>
          <w:sz w:val="18"/>
          <w:szCs w:val="18"/>
        </w:rPr>
        <w:t xml:space="preserve">187. Объем безучетного потребления в отношении потребителей электрической энергии (мощности), за исключением населения и приравненных к нему категорий потребителей, определяется с применением расчетного способа, предусмотренного </w:t>
      </w:r>
      <w:hyperlink r:id="rId8" w:history="1">
        <w:r w:rsidRPr="007F771E">
          <w:rPr>
            <w:rFonts w:ascii="Times New Roman" w:hAnsi="Times New Roman" w:cs="Times New Roman"/>
            <w:color w:val="0000FF"/>
            <w:sz w:val="18"/>
            <w:szCs w:val="18"/>
          </w:rPr>
          <w:t>подпунктом "а" пункта 1</w:t>
        </w:r>
      </w:hyperlink>
      <w:r w:rsidRPr="007F771E">
        <w:rPr>
          <w:rFonts w:ascii="Times New Roman" w:hAnsi="Times New Roman" w:cs="Times New Roman"/>
          <w:sz w:val="18"/>
          <w:szCs w:val="18"/>
        </w:rPr>
        <w:t xml:space="preserve"> приложения N 3 к настоящему документу.</w:t>
      </w:r>
    </w:p>
    <w:p w14:paraId="6468F00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Объем безучетного потребления в отношении приравненных к населению категорий потребителей определяется исходя из объема, рассчитанного на основании показаний расчетного прибора учета за аналогичный расчетный период предыдущего года с применением повышающего коэффициента 10, а при отсутствии указанных показаний - на основании показаний расчетного прибора учета за ближайший расчетный период, когда такие показания были представлены, с применением повышающего коэффициента 10, за исключением потребителей, указанных в </w:t>
      </w:r>
      <w:hyperlink r:id="rId9" w:history="1">
        <w:r w:rsidRPr="007F771E">
          <w:rPr>
            <w:rFonts w:ascii="Times New Roman" w:hAnsi="Times New Roman" w:cs="Times New Roman"/>
            <w:color w:val="0000FF"/>
            <w:sz w:val="18"/>
            <w:szCs w:val="18"/>
          </w:rPr>
          <w:t>пункте 68</w:t>
        </w:r>
      </w:hyperlink>
      <w:r w:rsidRPr="007F771E">
        <w:rPr>
          <w:rFonts w:ascii="Times New Roman" w:hAnsi="Times New Roman" w:cs="Times New Roman"/>
          <w:sz w:val="18"/>
          <w:szCs w:val="18"/>
        </w:rPr>
        <w:t xml:space="preserve"> настоящего документа. Объем безучетного потребления в отношении потребителей, указанных в </w:t>
      </w:r>
      <w:hyperlink r:id="rId10" w:history="1">
        <w:r w:rsidRPr="007F771E">
          <w:rPr>
            <w:rFonts w:ascii="Times New Roman" w:hAnsi="Times New Roman" w:cs="Times New Roman"/>
            <w:color w:val="0000FF"/>
            <w:sz w:val="18"/>
            <w:szCs w:val="18"/>
          </w:rPr>
          <w:t>пункте 68</w:t>
        </w:r>
      </w:hyperlink>
      <w:r w:rsidRPr="007F771E">
        <w:rPr>
          <w:rFonts w:ascii="Times New Roman" w:hAnsi="Times New Roman" w:cs="Times New Roman"/>
          <w:sz w:val="18"/>
          <w:szCs w:val="18"/>
        </w:rPr>
        <w:t xml:space="preserve"> настоящего документа, определяется в соответствии с </w:t>
      </w:r>
      <w:hyperlink r:id="rId11" w:history="1">
        <w:r w:rsidRPr="007F771E">
          <w:rPr>
            <w:rFonts w:ascii="Times New Roman" w:hAnsi="Times New Roman" w:cs="Times New Roman"/>
            <w:color w:val="0000FF"/>
            <w:sz w:val="18"/>
            <w:szCs w:val="18"/>
          </w:rPr>
          <w:t>Правилами</w:t>
        </w:r>
      </w:hyperlink>
      <w:r w:rsidRPr="007F771E">
        <w:rPr>
          <w:rFonts w:ascii="Times New Roman" w:hAnsi="Times New Roman" w:cs="Times New Roman"/>
          <w:sz w:val="18"/>
          <w:szCs w:val="18"/>
        </w:rPr>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14:paraId="28CCC08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Объем безучетного потребления в отношении населения определяется в порядке, предусмотренном </w:t>
      </w:r>
      <w:hyperlink r:id="rId12" w:history="1">
        <w:r w:rsidRPr="007F771E">
          <w:rPr>
            <w:rFonts w:ascii="Times New Roman" w:hAnsi="Times New Roman" w:cs="Times New Roman"/>
            <w:color w:val="0000FF"/>
            <w:sz w:val="18"/>
            <w:szCs w:val="18"/>
          </w:rPr>
          <w:t>Правилами</w:t>
        </w:r>
      </w:hyperlink>
      <w:r w:rsidRPr="007F771E">
        <w:rPr>
          <w:rFonts w:ascii="Times New Roman" w:hAnsi="Times New Roman" w:cs="Times New Roman"/>
          <w:sz w:val="18"/>
          <w:szCs w:val="18"/>
        </w:rP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14:paraId="5202537B"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При этом в отношении потребителя, при осуществлении расчетов за электрическую энергию с которым используется ставка за мощность, помимо объема безучетного потребления также определяется величина мощности, приобретаемой по договору, обеспечивающему продажу электрической энергии (мощности), и величина мощности, оплачиваемой в части услуг по передаче электрической энергии, исходя из почасовых объемов потребления электрической энергии, определяемых в соответствии с </w:t>
      </w:r>
      <w:hyperlink r:id="rId13" w:history="1">
        <w:r w:rsidRPr="007F771E">
          <w:rPr>
            <w:rFonts w:ascii="Times New Roman" w:hAnsi="Times New Roman" w:cs="Times New Roman"/>
            <w:color w:val="0000FF"/>
            <w:sz w:val="18"/>
            <w:szCs w:val="18"/>
          </w:rPr>
          <w:t>подпунктом "б" пункта 1</w:t>
        </w:r>
      </w:hyperlink>
      <w:r w:rsidRPr="007F771E">
        <w:rPr>
          <w:rFonts w:ascii="Times New Roman" w:hAnsi="Times New Roman" w:cs="Times New Roman"/>
          <w:sz w:val="18"/>
          <w:szCs w:val="18"/>
        </w:rPr>
        <w:t xml:space="preserve"> приложения N 3 к настоящему документу.</w:t>
      </w:r>
    </w:p>
    <w:p w14:paraId="3E49731F"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Объем безучетного потребления определяется с даты предыдущей проверки прибора учета (в случае если такая проверка не была проведена в запланированные сроки, - определяется с даты, не позднее которой она должна была быть проведена в соответствии с настоящим документом) до даты выявления факта безучетного потребления и составления акта о неучтенном потреблении электрической энергии.</w:t>
      </w:r>
    </w:p>
    <w:p w14:paraId="22D23325"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Стоимость электрической энергии в определенном в соответствии с настоящим пунктом объеме безучетного потребления включается гарантирующим поставщиком (энергосбытовой, энергоснабжающей организацией) в выставляемый потребителю (покупателю) счет на оплату стоимости электрической энергии (мощности), приобретенной по договору, обеспечивающему продажу электрической энергии (мощности), за тот расчетный период, в котором был выявлен факт безучетного потребления и составлен акт о неучтенном потреблении электрической энергии. Указанный счет также должен содержать расчет объема и стоимости безучетного потребления. Потребитель (покупатель) обязан оплатить указанный счет в срок, определенный в договоре, обеспечивающем продажу электрической энергии (мощности).</w:t>
      </w:r>
    </w:p>
    <w:p w14:paraId="7500E5D5"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С даты составления акта о неучтенном потреблении электрической энергии до даты замены прибора учета объем потребления электрической энергии (мощности) определяется в порядке, предусмотренном требованиями </w:t>
      </w:r>
      <w:hyperlink r:id="rId14" w:history="1">
        <w:r w:rsidRPr="007F771E">
          <w:rPr>
            <w:rFonts w:ascii="Times New Roman" w:hAnsi="Times New Roman" w:cs="Times New Roman"/>
            <w:color w:val="0000FF"/>
            <w:sz w:val="18"/>
            <w:szCs w:val="18"/>
          </w:rPr>
          <w:t>пункта 179</w:t>
        </w:r>
      </w:hyperlink>
      <w:r w:rsidRPr="007F771E">
        <w:rPr>
          <w:rFonts w:ascii="Times New Roman" w:hAnsi="Times New Roman" w:cs="Times New Roman"/>
          <w:sz w:val="18"/>
          <w:szCs w:val="18"/>
        </w:rPr>
        <w:t xml:space="preserve"> настоящего документа к расчету объемов потребления электрической энергии (мощности) для случая непредоставления показаний прибора учета.</w:t>
      </w:r>
    </w:p>
    <w:p w14:paraId="3E7E22F3"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lastRenderedPageBreak/>
        <w:t>188. В случае если в результате проверки прибора учета, эксплуатацию которого в соответствии с настоящим документом осуществляет сетевая организация (гарантирующий поставщик), сделано заключение о непригодности расчетного прибора учета для осуществления расчетов за потребленную на розничных рынках электрическую энергию (мощность) и оказанные услуги по передаче электрической энергии, о несоответствии расчетного прибора учета требованиям, предъявляемым к такому прибору учета, и при этом не был установлен факт безучетного потребления, в отношении соответствующей точки поставки должен быть сделан перерасчет за потребленную на розничных рынках электрическую энергию (мощность) и оказанные услуги по передаче электрической энергии с даты предыдущей проверки прибора учета (в случае если такая проверка не была проведена в запланированные сроки, то определяется с даты, не позднее которой она должна быть проведена в соответствии с настоящим документом) до даты составления акта проверки.</w:t>
      </w:r>
    </w:p>
    <w:p w14:paraId="080FA6D0"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Если указанное заключение было сделано в отношении прибора учета, присоединенного к интеллектуальной системе учета электрической энергии (мощности), перерасчет осуществляется за последние 3 расчетных периода.</w:t>
      </w:r>
    </w:p>
    <w:p w14:paraId="5B7F2791"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Перерасчет за потребленную на розничных рынках электрическую энергию (мощность) и оказанные услуги по передаче электрической энергии осуществляется в соответствии с расчетными способами, предусмотренными </w:t>
      </w:r>
      <w:hyperlink r:id="rId15" w:history="1">
        <w:r w:rsidRPr="007F771E">
          <w:rPr>
            <w:rFonts w:ascii="Times New Roman" w:hAnsi="Times New Roman" w:cs="Times New Roman"/>
            <w:color w:val="0000FF"/>
            <w:sz w:val="18"/>
            <w:szCs w:val="18"/>
          </w:rPr>
          <w:t>пунктами 179</w:t>
        </w:r>
      </w:hyperlink>
      <w:r w:rsidRPr="007F771E">
        <w:rPr>
          <w:rFonts w:ascii="Times New Roman" w:hAnsi="Times New Roman" w:cs="Times New Roman"/>
          <w:sz w:val="18"/>
          <w:szCs w:val="18"/>
        </w:rPr>
        <w:t xml:space="preserve"> - </w:t>
      </w:r>
      <w:hyperlink r:id="rId16" w:history="1">
        <w:r w:rsidRPr="007F771E">
          <w:rPr>
            <w:rFonts w:ascii="Times New Roman" w:hAnsi="Times New Roman" w:cs="Times New Roman"/>
            <w:color w:val="0000FF"/>
            <w:sz w:val="18"/>
            <w:szCs w:val="18"/>
          </w:rPr>
          <w:t>181</w:t>
        </w:r>
      </w:hyperlink>
      <w:r w:rsidRPr="007F771E">
        <w:rPr>
          <w:rFonts w:ascii="Times New Roman" w:hAnsi="Times New Roman" w:cs="Times New Roman"/>
          <w:sz w:val="18"/>
          <w:szCs w:val="18"/>
        </w:rPr>
        <w:t xml:space="preserve"> настоящего документа для случая непредставления показаний расчетного прибора учета в установленные сроки и при отсутствии контрольного прибора учета, а также учитывается сетевой организацией по договору на оказание услуг по передаче электрической энергии в отношении соответствующей точки поставки и гарантирующим поставщиком (энергосбытовой, энергоснабжающей организацией) по договору энергоснабжения (купли-продажи (поставки) электрической энергии) в том расчетном периоде, в котором была проведена проверка прибора учета и выявлен факт, свидетельствующий о необходимости указанного перерасчета. Счет на оплату услуг по передаче электрической энергии и счет на оплату поставленной электрической энергии также должны содержать расчет объема и стоимости перерасчета за потребленную на розничных рынках электрическую энергию (мощность) и оказанные услуги по передаче электрической энергии.</w:t>
      </w:r>
    </w:p>
    <w:p w14:paraId="381DD3BF"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В случае если в результате перерасчета стоимости поставленной электрической энергии (мощности) и оказанных услуг по передаче электрической энергии она должна быть уменьшена на величину, превышающую стоимость фактически потребленной в соответствующем расчетном периоде электрической энергии (мощности) и оказанных услуг по передаче электрической энергии, такое превышение учитывается в следующих расчетных периодах.</w:t>
      </w:r>
    </w:p>
    <w:p w14:paraId="6B5119B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bookmarkStart w:id="2" w:name="Par13"/>
      <w:bookmarkEnd w:id="2"/>
      <w:r w:rsidRPr="007F771E">
        <w:rPr>
          <w:rFonts w:ascii="Times New Roman" w:hAnsi="Times New Roman" w:cs="Times New Roman"/>
          <w:sz w:val="18"/>
          <w:szCs w:val="18"/>
        </w:rPr>
        <w:t xml:space="preserve">189. Объем бездоговорного потребления электрической энергии определяется расчетным способом, предусмотренным </w:t>
      </w:r>
      <w:hyperlink r:id="rId17" w:history="1">
        <w:r w:rsidRPr="007F771E">
          <w:rPr>
            <w:rFonts w:ascii="Times New Roman" w:hAnsi="Times New Roman" w:cs="Times New Roman"/>
            <w:color w:val="0000FF"/>
            <w:sz w:val="18"/>
            <w:szCs w:val="18"/>
          </w:rPr>
          <w:t>пунктом 2</w:t>
        </w:r>
      </w:hyperlink>
      <w:r w:rsidRPr="007F771E">
        <w:rPr>
          <w:rFonts w:ascii="Times New Roman" w:hAnsi="Times New Roman" w:cs="Times New Roman"/>
          <w:sz w:val="18"/>
          <w:szCs w:val="18"/>
        </w:rPr>
        <w:t xml:space="preserve"> приложения N 3 к настоящему документу, за период времени, в течение которого осуществлялось бездоговорное потребление электрической энергии, но не более чем за один год. При этом:</w:t>
      </w:r>
    </w:p>
    <w:p w14:paraId="21540DFF"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период времени,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 определяется с даты предыдущей контрольной проверки технического состояния объектов электросетевого хозяйства в месте, где позже был выявлен факт бездоговорного потребления электрической энергии, до даты выявления факта бездоговорного потребления электрической энергии и составления акта о неучтенном потреблении электрической энергии;</w:t>
      </w:r>
    </w:p>
    <w:p w14:paraId="30A9B000"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предыдущей проверки введенного ограничения режима потребления электрической энергии или с даты составления предыдущего акта о неучтенном потреблении (в зависимости от того, какая из них наступила позднее) до даты выявления факта бездоговорного потребления электрической энергии и составления акта о неучтенном потреблении электрической энергии. Если проверка введенного ограничения ранее не проводилась и составление акта о неучтенном потреблении не осуществлялось, период времени,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 определяется с даты введения полного ограничения режима потребления электрической энергии, указанной в направленном инициатором ограничения режима потребления исполнителю (субисполнителю) уведомлении о необходимости введения ограничения режима потребления (даты, следующей за датой получения (субисполнителем) от потребителя уведомления о готовности к введению полного ограничения режима потребления), до даты выявления факта бездоговорного потребления электрической энергии и составления акта о неучтенном потреблении электрической энергии.</w:t>
      </w:r>
    </w:p>
    <w:p w14:paraId="78D1CAF6"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(тарифов), указанных в </w:t>
      </w:r>
      <w:hyperlink r:id="rId18" w:history="1">
        <w:r w:rsidRPr="007F771E">
          <w:rPr>
            <w:rFonts w:ascii="Times New Roman" w:hAnsi="Times New Roman" w:cs="Times New Roman"/>
            <w:color w:val="0000FF"/>
            <w:sz w:val="18"/>
            <w:szCs w:val="18"/>
          </w:rPr>
          <w:t>разделе IV</w:t>
        </w:r>
      </w:hyperlink>
      <w:r w:rsidRPr="007F771E">
        <w:rPr>
          <w:rFonts w:ascii="Times New Roman" w:hAnsi="Times New Roman" w:cs="Times New Roman"/>
          <w:sz w:val="18"/>
          <w:szCs w:val="18"/>
        </w:rPr>
        <w:t xml:space="preserve"> настоящего документа.</w:t>
      </w:r>
    </w:p>
    <w:p w14:paraId="23642CD7"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Сетевая организация оформляет счет для оплаты стоимости электрической энергии в объеме бездоговорного потребления электрической энергии, который должен содержать расчет стоимости бездоговорного потребления электрической энергии, и направляет его лицу, осуществившему бездоговорное потребление электрической энергии, способом, позволяющим подтвердить факт его получения, вместе с актом о неучтенном потреблении электрической энергии в срок, установленный </w:t>
      </w:r>
      <w:hyperlink r:id="rId19" w:history="1">
        <w:r w:rsidRPr="007F771E">
          <w:rPr>
            <w:rFonts w:ascii="Times New Roman" w:hAnsi="Times New Roman" w:cs="Times New Roman"/>
            <w:color w:val="0000FF"/>
            <w:sz w:val="18"/>
            <w:szCs w:val="18"/>
          </w:rPr>
          <w:t>пунктом 177</w:t>
        </w:r>
      </w:hyperlink>
      <w:r w:rsidRPr="007F771E">
        <w:rPr>
          <w:rFonts w:ascii="Times New Roman" w:hAnsi="Times New Roman" w:cs="Times New Roman"/>
          <w:sz w:val="18"/>
          <w:szCs w:val="18"/>
        </w:rPr>
        <w:t xml:space="preserve"> настоящего документа, или в течение 2 рабочих дней со дня определения в порядке, установленном настоящим документом, цены бездоговорного потребления электрической энергии.</w:t>
      </w:r>
    </w:p>
    <w:p w14:paraId="5518F61E"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Лицо, осуществившее бездоговорное потребление электрической энергии,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w:t>
      </w:r>
    </w:p>
    <w:p w14:paraId="39A6B7B6"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При отказе лица, осуществившего бездоговорное потребление электрической энергии, от оплаты указанного счета стоимость электрической энергии в объеме бездоговорного потребления электрической энергии взыскивается с такого </w:t>
      </w:r>
      <w:r w:rsidRPr="007F771E">
        <w:rPr>
          <w:rFonts w:ascii="Times New Roman" w:hAnsi="Times New Roman" w:cs="Times New Roman"/>
          <w:sz w:val="18"/>
          <w:szCs w:val="18"/>
        </w:rPr>
        <w:lastRenderedPageBreak/>
        <w:t>лица сетевой организацией в порядке 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w:t>
      </w:r>
    </w:p>
    <w:p w14:paraId="4BE2A0A6"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Иной владелец объектов электросетевого хозяйства, к которым непосредственно присоединены энергопринимающие устройства (объекты электросетевого хозяйства) лица, осуществляющего бездоговорное потребление электрической энергии, при выявлении бездоговорного потребления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 аналогичном порядку, установленному настоящим документом для сетевой организации.</w:t>
      </w:r>
    </w:p>
    <w:p w14:paraId="5039F0D9" w14:textId="77777777" w:rsidR="000906DE" w:rsidRPr="007F771E" w:rsidRDefault="000906DE" w:rsidP="000906DE">
      <w:pPr>
        <w:autoSpaceDE w:val="0"/>
        <w:autoSpaceDN w:val="0"/>
        <w:adjustRightInd w:val="0"/>
        <w:spacing w:after="0" w:line="240" w:lineRule="auto"/>
        <w:jc w:val="both"/>
        <w:outlineLvl w:val="0"/>
        <w:rPr>
          <w:rFonts w:ascii="Times New Roman" w:hAnsi="Times New Roman" w:cs="Times New Roman"/>
          <w:sz w:val="18"/>
          <w:szCs w:val="18"/>
        </w:rPr>
      </w:pPr>
    </w:p>
    <w:p w14:paraId="59D987ED" w14:textId="77777777" w:rsidR="000906DE" w:rsidRPr="007F771E" w:rsidRDefault="000906DE" w:rsidP="000906DE">
      <w:pPr>
        <w:autoSpaceDE w:val="0"/>
        <w:autoSpaceDN w:val="0"/>
        <w:adjustRightInd w:val="0"/>
        <w:spacing w:after="0" w:line="240" w:lineRule="auto"/>
        <w:jc w:val="right"/>
        <w:outlineLvl w:val="0"/>
        <w:rPr>
          <w:rFonts w:ascii="Times New Roman" w:hAnsi="Times New Roman" w:cs="Times New Roman"/>
          <w:sz w:val="18"/>
          <w:szCs w:val="18"/>
        </w:rPr>
      </w:pPr>
      <w:r w:rsidRPr="007F771E">
        <w:rPr>
          <w:rFonts w:ascii="Times New Roman" w:hAnsi="Times New Roman" w:cs="Times New Roman"/>
          <w:sz w:val="18"/>
          <w:szCs w:val="18"/>
        </w:rPr>
        <w:t>Приложение N 3</w:t>
      </w:r>
    </w:p>
    <w:p w14:paraId="094079CD" w14:textId="77777777" w:rsidR="000906DE" w:rsidRPr="007F771E" w:rsidRDefault="000906DE" w:rsidP="000906DE">
      <w:pPr>
        <w:autoSpaceDE w:val="0"/>
        <w:autoSpaceDN w:val="0"/>
        <w:adjustRightInd w:val="0"/>
        <w:spacing w:after="0" w:line="240" w:lineRule="auto"/>
        <w:jc w:val="right"/>
        <w:rPr>
          <w:rFonts w:ascii="Times New Roman" w:hAnsi="Times New Roman" w:cs="Times New Roman"/>
          <w:sz w:val="18"/>
          <w:szCs w:val="18"/>
        </w:rPr>
      </w:pPr>
      <w:r w:rsidRPr="007F771E">
        <w:rPr>
          <w:rFonts w:ascii="Times New Roman" w:hAnsi="Times New Roman" w:cs="Times New Roman"/>
          <w:sz w:val="18"/>
          <w:szCs w:val="18"/>
        </w:rPr>
        <w:t>к Основным положениям</w:t>
      </w:r>
    </w:p>
    <w:p w14:paraId="098D53C4" w14:textId="77777777" w:rsidR="000906DE" w:rsidRPr="007F771E" w:rsidRDefault="000906DE" w:rsidP="000906DE">
      <w:pPr>
        <w:autoSpaceDE w:val="0"/>
        <w:autoSpaceDN w:val="0"/>
        <w:adjustRightInd w:val="0"/>
        <w:spacing w:after="0" w:line="240" w:lineRule="auto"/>
        <w:jc w:val="right"/>
        <w:rPr>
          <w:rFonts w:ascii="Times New Roman" w:hAnsi="Times New Roman" w:cs="Times New Roman"/>
          <w:sz w:val="18"/>
          <w:szCs w:val="18"/>
        </w:rPr>
      </w:pPr>
      <w:r w:rsidRPr="007F771E">
        <w:rPr>
          <w:rFonts w:ascii="Times New Roman" w:hAnsi="Times New Roman" w:cs="Times New Roman"/>
          <w:sz w:val="18"/>
          <w:szCs w:val="18"/>
        </w:rPr>
        <w:t>функционирования розничных</w:t>
      </w:r>
    </w:p>
    <w:p w14:paraId="0DD332B7" w14:textId="77777777" w:rsidR="000906DE" w:rsidRPr="007F771E" w:rsidRDefault="000906DE" w:rsidP="000906DE">
      <w:pPr>
        <w:autoSpaceDE w:val="0"/>
        <w:autoSpaceDN w:val="0"/>
        <w:adjustRightInd w:val="0"/>
        <w:spacing w:after="0" w:line="240" w:lineRule="auto"/>
        <w:jc w:val="right"/>
        <w:rPr>
          <w:rFonts w:ascii="Times New Roman" w:hAnsi="Times New Roman" w:cs="Times New Roman"/>
          <w:sz w:val="18"/>
          <w:szCs w:val="18"/>
        </w:rPr>
      </w:pPr>
      <w:r w:rsidRPr="007F771E">
        <w:rPr>
          <w:rFonts w:ascii="Times New Roman" w:hAnsi="Times New Roman" w:cs="Times New Roman"/>
          <w:sz w:val="18"/>
          <w:szCs w:val="18"/>
        </w:rPr>
        <w:t>рынков электрической энергии</w:t>
      </w:r>
    </w:p>
    <w:p w14:paraId="7A4D45E8" w14:textId="77777777" w:rsidR="000906DE" w:rsidRPr="007F771E" w:rsidRDefault="000906DE" w:rsidP="000906DE">
      <w:pPr>
        <w:autoSpaceDE w:val="0"/>
        <w:autoSpaceDN w:val="0"/>
        <w:adjustRightInd w:val="0"/>
        <w:spacing w:after="0" w:line="240" w:lineRule="auto"/>
        <w:jc w:val="both"/>
        <w:rPr>
          <w:rFonts w:ascii="Times New Roman" w:hAnsi="Times New Roman" w:cs="Times New Roman"/>
          <w:sz w:val="18"/>
          <w:szCs w:val="18"/>
        </w:rPr>
      </w:pPr>
    </w:p>
    <w:p w14:paraId="017FD4AA" w14:textId="77777777" w:rsidR="000906DE" w:rsidRPr="007F771E" w:rsidRDefault="000906DE" w:rsidP="000906DE">
      <w:pPr>
        <w:autoSpaceDE w:val="0"/>
        <w:autoSpaceDN w:val="0"/>
        <w:adjustRightInd w:val="0"/>
        <w:spacing w:line="240" w:lineRule="auto"/>
        <w:jc w:val="center"/>
        <w:rPr>
          <w:rFonts w:ascii="Times New Roman" w:hAnsi="Times New Roman" w:cs="Times New Roman"/>
          <w:b/>
          <w:bCs/>
          <w:sz w:val="18"/>
          <w:szCs w:val="18"/>
        </w:rPr>
      </w:pPr>
      <w:r w:rsidRPr="007F771E">
        <w:rPr>
          <w:rFonts w:ascii="Times New Roman" w:hAnsi="Times New Roman" w:cs="Times New Roman"/>
          <w:b/>
          <w:bCs/>
          <w:sz w:val="18"/>
          <w:szCs w:val="18"/>
        </w:rPr>
        <w:t>РАСЧЕТНЫЕ СПОСОБЫ</w:t>
      </w:r>
    </w:p>
    <w:p w14:paraId="200E2925" w14:textId="77777777" w:rsidR="000906DE" w:rsidRPr="007F771E" w:rsidRDefault="000906DE" w:rsidP="000906DE">
      <w:pPr>
        <w:autoSpaceDE w:val="0"/>
        <w:autoSpaceDN w:val="0"/>
        <w:adjustRightInd w:val="0"/>
        <w:spacing w:line="240" w:lineRule="auto"/>
        <w:jc w:val="center"/>
        <w:rPr>
          <w:rFonts w:ascii="Times New Roman" w:hAnsi="Times New Roman" w:cs="Times New Roman"/>
          <w:b/>
          <w:bCs/>
          <w:sz w:val="18"/>
          <w:szCs w:val="18"/>
        </w:rPr>
      </w:pPr>
      <w:r w:rsidRPr="007F771E">
        <w:rPr>
          <w:rFonts w:ascii="Times New Roman" w:hAnsi="Times New Roman" w:cs="Times New Roman"/>
          <w:b/>
          <w:bCs/>
          <w:sz w:val="18"/>
          <w:szCs w:val="18"/>
        </w:rPr>
        <w:t>УЧЕТА ЭЛЕКТРИЧЕСКОЙ ЭНЕРГИИ (МОЩНОСТИ) НА РОЗНИЧНЫХ РЫНКАХ</w:t>
      </w:r>
    </w:p>
    <w:p w14:paraId="5A4D2A70" w14:textId="77777777" w:rsidR="000906DE" w:rsidRPr="007F771E" w:rsidRDefault="000906DE" w:rsidP="000906DE">
      <w:pPr>
        <w:autoSpaceDE w:val="0"/>
        <w:autoSpaceDN w:val="0"/>
        <w:adjustRightInd w:val="0"/>
        <w:spacing w:line="240" w:lineRule="auto"/>
        <w:jc w:val="center"/>
        <w:rPr>
          <w:rFonts w:ascii="Times New Roman" w:hAnsi="Times New Roman" w:cs="Times New Roman"/>
          <w:b/>
          <w:bCs/>
          <w:sz w:val="18"/>
          <w:szCs w:val="18"/>
        </w:rPr>
      </w:pPr>
      <w:r w:rsidRPr="007F771E">
        <w:rPr>
          <w:rFonts w:ascii="Times New Roman" w:hAnsi="Times New Roman" w:cs="Times New Roman"/>
          <w:b/>
          <w:bCs/>
          <w:sz w:val="18"/>
          <w:szCs w:val="18"/>
        </w:rPr>
        <w:t>ЭЛЕКТРИЧЕСКОЙ ЭНЕРГИИ</w:t>
      </w:r>
    </w:p>
    <w:p w14:paraId="5D61E04B"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1. В случаях, предусмотренных Основными </w:t>
      </w:r>
      <w:hyperlink r:id="rId20" w:history="1">
        <w:r w:rsidRPr="007F771E">
          <w:rPr>
            <w:rFonts w:ascii="Times New Roman" w:hAnsi="Times New Roman" w:cs="Times New Roman"/>
            <w:color w:val="0000FF"/>
            <w:sz w:val="18"/>
            <w:szCs w:val="18"/>
          </w:rPr>
          <w:t>положениями</w:t>
        </w:r>
      </w:hyperlink>
      <w:r w:rsidRPr="007F771E">
        <w:rPr>
          <w:rFonts w:ascii="Times New Roman" w:hAnsi="Times New Roman" w:cs="Times New Roman"/>
          <w:sz w:val="18"/>
          <w:szCs w:val="18"/>
        </w:rPr>
        <w:t xml:space="preserve"> функционирования розничных рынков электрической энергии, применяются следующие расчетные способы определения объема потребления электрической энергии (мощности):</w:t>
      </w:r>
    </w:p>
    <w:p w14:paraId="0EE67810"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bookmarkStart w:id="3" w:name="Par15"/>
      <w:bookmarkEnd w:id="3"/>
      <w:r w:rsidRPr="007F771E">
        <w:rPr>
          <w:rFonts w:ascii="Times New Roman" w:hAnsi="Times New Roman" w:cs="Times New Roman"/>
          <w:sz w:val="18"/>
          <w:szCs w:val="18"/>
        </w:rPr>
        <w:t>а) объем потребления электрической энергии (мощности) в соответствующей точке поставки, МВт</w:t>
      </w:r>
      <w:r w:rsidRPr="007F771E">
        <w:rPr>
          <w:rFonts w:ascii="Times New Roman" w:hAnsi="Times New Roman" w:cs="Times New Roman"/>
          <w:noProof/>
          <w:position w:val="1"/>
          <w:sz w:val="18"/>
          <w:szCs w:val="18"/>
          <w:lang w:eastAsia="ru-RU"/>
        </w:rPr>
        <w:drawing>
          <wp:inline distT="0" distB="0" distL="0" distR="0" wp14:anchorId="071885FE" wp14:editId="52D9168C">
            <wp:extent cx="63500" cy="127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0" cy="127000"/>
                    </a:xfrm>
                    <a:prstGeom prst="rect">
                      <a:avLst/>
                    </a:prstGeom>
                    <a:noFill/>
                    <a:ln>
                      <a:noFill/>
                    </a:ln>
                  </pic:spPr>
                </pic:pic>
              </a:graphicData>
            </a:graphic>
          </wp:inline>
        </w:drawing>
      </w:r>
      <w:r w:rsidRPr="007F771E">
        <w:rPr>
          <w:rFonts w:ascii="Times New Roman" w:hAnsi="Times New Roman" w:cs="Times New Roman"/>
          <w:sz w:val="18"/>
          <w:szCs w:val="18"/>
        </w:rPr>
        <w:t>ч, определяется:</w:t>
      </w:r>
    </w:p>
    <w:p w14:paraId="3A98B6FC"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если в договоре, обеспечивающем продажу электрической энергии (мощности) на розничном рынке, имеются данные о величине максимальной мощности энергопринимающих устройств в соответствующей точке поставки, за исключением случая, указанного в </w:t>
      </w:r>
      <w:hyperlink w:anchor="Par26" w:history="1">
        <w:r w:rsidRPr="007F771E">
          <w:rPr>
            <w:rFonts w:ascii="Times New Roman" w:hAnsi="Times New Roman" w:cs="Times New Roman"/>
            <w:color w:val="0000FF"/>
            <w:sz w:val="18"/>
            <w:szCs w:val="18"/>
          </w:rPr>
          <w:t>абзаце седьмом</w:t>
        </w:r>
      </w:hyperlink>
      <w:r w:rsidRPr="007F771E">
        <w:rPr>
          <w:rFonts w:ascii="Times New Roman" w:hAnsi="Times New Roman" w:cs="Times New Roman"/>
          <w:sz w:val="18"/>
          <w:szCs w:val="18"/>
        </w:rPr>
        <w:t xml:space="preserve"> настоящего подпункта, по формуле:</w:t>
      </w:r>
    </w:p>
    <w:p w14:paraId="0FB0ABBB"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07B8D1AB" w14:textId="77777777" w:rsidR="000906DE" w:rsidRPr="007F771E" w:rsidRDefault="000906DE" w:rsidP="000906DE">
      <w:pPr>
        <w:autoSpaceDE w:val="0"/>
        <w:autoSpaceDN w:val="0"/>
        <w:adjustRightInd w:val="0"/>
        <w:spacing w:after="0" w:line="240" w:lineRule="auto"/>
        <w:jc w:val="center"/>
        <w:rPr>
          <w:rFonts w:ascii="Times New Roman" w:hAnsi="Times New Roman" w:cs="Times New Roman"/>
          <w:sz w:val="18"/>
          <w:szCs w:val="18"/>
        </w:rPr>
      </w:pPr>
      <w:r w:rsidRPr="007F771E">
        <w:rPr>
          <w:rFonts w:ascii="Times New Roman" w:hAnsi="Times New Roman" w:cs="Times New Roman"/>
          <w:noProof/>
          <w:position w:val="-7"/>
          <w:sz w:val="18"/>
          <w:szCs w:val="18"/>
          <w:lang w:eastAsia="ru-RU"/>
        </w:rPr>
        <w:drawing>
          <wp:inline distT="0" distB="0" distL="0" distR="0" wp14:anchorId="6D42D851" wp14:editId="38718500">
            <wp:extent cx="699770" cy="222885"/>
            <wp:effectExtent l="0" t="0" r="508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9770" cy="222885"/>
                    </a:xfrm>
                    <a:prstGeom prst="rect">
                      <a:avLst/>
                    </a:prstGeom>
                    <a:noFill/>
                    <a:ln>
                      <a:noFill/>
                    </a:ln>
                  </pic:spPr>
                </pic:pic>
              </a:graphicData>
            </a:graphic>
          </wp:inline>
        </w:drawing>
      </w:r>
      <w:r w:rsidRPr="007F771E">
        <w:rPr>
          <w:rFonts w:ascii="Times New Roman" w:hAnsi="Times New Roman" w:cs="Times New Roman"/>
          <w:sz w:val="18"/>
          <w:szCs w:val="18"/>
        </w:rPr>
        <w:t>,</w:t>
      </w:r>
    </w:p>
    <w:p w14:paraId="58505174"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1C51C228"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где:</w:t>
      </w:r>
    </w:p>
    <w:p w14:paraId="07924B68"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P</w:t>
      </w:r>
      <w:r w:rsidRPr="007F771E">
        <w:rPr>
          <w:rFonts w:ascii="Times New Roman" w:hAnsi="Times New Roman" w:cs="Times New Roman"/>
          <w:sz w:val="18"/>
          <w:szCs w:val="18"/>
          <w:vertAlign w:val="subscript"/>
        </w:rPr>
        <w:t>макс</w:t>
      </w:r>
      <w:r w:rsidRPr="007F771E">
        <w:rPr>
          <w:rFonts w:ascii="Times New Roman" w:hAnsi="Times New Roman" w:cs="Times New Roman"/>
          <w:sz w:val="18"/>
          <w:szCs w:val="18"/>
        </w:rPr>
        <w:t xml:space="preserve"> - максимальная мощность энергопринимающих устройств, относящаяся к соответствующей точке поставки, а в случае, если в договоре, обеспечивающем продажу электрической энергии (мощности) на розничном рынке, не предусмотрено распределение максимальной мощности по точкам поставки,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соответствующего вводного провода (кабеля), МВт;</w:t>
      </w:r>
    </w:p>
    <w:p w14:paraId="12638437"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T - количество часов в расчетном периоде, используемое при расчете безучетного потребления, но не более 4380 часов. При определении объема безучетного потребления количество часов потребления электрической энергии признается равным 24 часам в сутки вне зависимости от фактического режима работы потребителя и (или) количества часов использования им электрической энергии (мощности);</w:t>
      </w:r>
    </w:p>
    <w:p w14:paraId="0ED3E4A3"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bookmarkStart w:id="4" w:name="Par26"/>
      <w:bookmarkEnd w:id="4"/>
      <w:r w:rsidRPr="007F771E">
        <w:rPr>
          <w:rFonts w:ascii="Times New Roman" w:hAnsi="Times New Roman" w:cs="Times New Roman"/>
          <w:sz w:val="18"/>
          <w:szCs w:val="18"/>
        </w:rPr>
        <w:t>если в договоре, обеспечивающем продажу электрической энергии (мощности) на розничном рынке,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потребителем мощности, величина которой превышает величину максимальной мощности энергопринимающих устройств потребителя, указанную в договоре, обеспечивающем продажу электрической энергии (мощности) на розничном рынке, по формулам:</w:t>
      </w:r>
    </w:p>
    <w:p w14:paraId="71F6EC98"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для однофазного ввода:</w:t>
      </w:r>
    </w:p>
    <w:p w14:paraId="28DF89F1"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22BBACCF" w14:textId="77777777" w:rsidR="000906DE" w:rsidRPr="007F771E" w:rsidRDefault="000906DE" w:rsidP="000906DE">
      <w:pPr>
        <w:autoSpaceDE w:val="0"/>
        <w:autoSpaceDN w:val="0"/>
        <w:adjustRightInd w:val="0"/>
        <w:spacing w:after="0" w:line="240" w:lineRule="auto"/>
        <w:jc w:val="center"/>
        <w:rPr>
          <w:rFonts w:ascii="Times New Roman" w:hAnsi="Times New Roman" w:cs="Times New Roman"/>
          <w:sz w:val="18"/>
          <w:szCs w:val="18"/>
        </w:rPr>
      </w:pPr>
      <w:r w:rsidRPr="007F771E">
        <w:rPr>
          <w:rFonts w:ascii="Times New Roman" w:hAnsi="Times New Roman" w:cs="Times New Roman"/>
          <w:noProof/>
          <w:position w:val="-23"/>
          <w:sz w:val="18"/>
          <w:szCs w:val="18"/>
          <w:lang w:eastAsia="ru-RU"/>
        </w:rPr>
        <w:drawing>
          <wp:inline distT="0" distB="0" distL="0" distR="0" wp14:anchorId="7608284A" wp14:editId="31FE902D">
            <wp:extent cx="1685925" cy="42164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85925" cy="421640"/>
                    </a:xfrm>
                    <a:prstGeom prst="rect">
                      <a:avLst/>
                    </a:prstGeom>
                    <a:noFill/>
                    <a:ln>
                      <a:noFill/>
                    </a:ln>
                  </pic:spPr>
                </pic:pic>
              </a:graphicData>
            </a:graphic>
          </wp:inline>
        </w:drawing>
      </w:r>
      <w:r w:rsidRPr="007F771E">
        <w:rPr>
          <w:rFonts w:ascii="Times New Roman" w:hAnsi="Times New Roman" w:cs="Times New Roman"/>
          <w:sz w:val="18"/>
          <w:szCs w:val="18"/>
        </w:rPr>
        <w:t>,</w:t>
      </w:r>
    </w:p>
    <w:p w14:paraId="14E134E7"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1EB74222"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для трехфазного ввода:</w:t>
      </w:r>
    </w:p>
    <w:p w14:paraId="7770DF60"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40365B96" w14:textId="77777777" w:rsidR="000906DE" w:rsidRPr="007F771E" w:rsidRDefault="000906DE" w:rsidP="000906DE">
      <w:pPr>
        <w:autoSpaceDE w:val="0"/>
        <w:autoSpaceDN w:val="0"/>
        <w:adjustRightInd w:val="0"/>
        <w:spacing w:after="0" w:line="240" w:lineRule="auto"/>
        <w:jc w:val="center"/>
        <w:rPr>
          <w:rFonts w:ascii="Times New Roman" w:hAnsi="Times New Roman" w:cs="Times New Roman"/>
          <w:sz w:val="18"/>
          <w:szCs w:val="18"/>
        </w:rPr>
      </w:pPr>
      <w:r w:rsidRPr="007F771E">
        <w:rPr>
          <w:rFonts w:ascii="Times New Roman" w:hAnsi="Times New Roman" w:cs="Times New Roman"/>
          <w:noProof/>
          <w:position w:val="-23"/>
          <w:sz w:val="18"/>
          <w:szCs w:val="18"/>
          <w:lang w:eastAsia="ru-RU"/>
        </w:rPr>
        <w:drawing>
          <wp:inline distT="0" distB="0" distL="0" distR="0" wp14:anchorId="0DEDDA67" wp14:editId="78E062E7">
            <wp:extent cx="1828800" cy="4216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421640"/>
                    </a:xfrm>
                    <a:prstGeom prst="rect">
                      <a:avLst/>
                    </a:prstGeom>
                    <a:noFill/>
                    <a:ln>
                      <a:noFill/>
                    </a:ln>
                  </pic:spPr>
                </pic:pic>
              </a:graphicData>
            </a:graphic>
          </wp:inline>
        </w:drawing>
      </w:r>
      <w:r w:rsidRPr="007F771E">
        <w:rPr>
          <w:rFonts w:ascii="Times New Roman" w:hAnsi="Times New Roman" w:cs="Times New Roman"/>
          <w:sz w:val="18"/>
          <w:szCs w:val="18"/>
        </w:rPr>
        <w:t>,</w:t>
      </w:r>
    </w:p>
    <w:p w14:paraId="0064711F"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28546DC2"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где:</w:t>
      </w:r>
    </w:p>
    <w:p w14:paraId="4A03677F"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lastRenderedPageBreak/>
        <w:t>I</w:t>
      </w:r>
      <w:r w:rsidRPr="007F771E">
        <w:rPr>
          <w:rFonts w:ascii="Times New Roman" w:hAnsi="Times New Roman" w:cs="Times New Roman"/>
          <w:sz w:val="18"/>
          <w:szCs w:val="18"/>
          <w:vertAlign w:val="subscript"/>
        </w:rPr>
        <w:t>доп.дл.</w:t>
      </w:r>
      <w:r w:rsidRPr="007F771E">
        <w:rPr>
          <w:rFonts w:ascii="Times New Roman" w:hAnsi="Times New Roman" w:cs="Times New Roman"/>
          <w:sz w:val="18"/>
          <w:szCs w:val="18"/>
        </w:rPr>
        <w:t xml:space="preserve"> - допустимая длительная токовая нагрузка вводного провода (кабеля), А;</w:t>
      </w:r>
    </w:p>
    <w:p w14:paraId="7FA647F4"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U</w:t>
      </w:r>
      <w:r w:rsidRPr="007F771E">
        <w:rPr>
          <w:rFonts w:ascii="Times New Roman" w:hAnsi="Times New Roman" w:cs="Times New Roman"/>
          <w:sz w:val="18"/>
          <w:szCs w:val="18"/>
          <w:vertAlign w:val="subscript"/>
        </w:rPr>
        <w:t>ф.ном.</w:t>
      </w:r>
      <w:r w:rsidRPr="007F771E">
        <w:rPr>
          <w:rFonts w:ascii="Times New Roman" w:hAnsi="Times New Roman" w:cs="Times New Roman"/>
          <w:sz w:val="18"/>
          <w:szCs w:val="18"/>
        </w:rPr>
        <w:t xml:space="preserve"> - номинальное фазное напряжение, кВ;</w:t>
      </w:r>
    </w:p>
    <w:p w14:paraId="29234D29"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noProof/>
          <w:position w:val="-2"/>
          <w:sz w:val="18"/>
          <w:szCs w:val="18"/>
          <w:lang w:eastAsia="ru-RU"/>
        </w:rPr>
        <w:drawing>
          <wp:inline distT="0" distB="0" distL="0" distR="0" wp14:anchorId="533F2EAE" wp14:editId="39EE9F4E">
            <wp:extent cx="374015" cy="15875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015" cy="158750"/>
                    </a:xfrm>
                    <a:prstGeom prst="rect">
                      <a:avLst/>
                    </a:prstGeom>
                    <a:noFill/>
                    <a:ln>
                      <a:noFill/>
                    </a:ln>
                  </pic:spPr>
                </pic:pic>
              </a:graphicData>
            </a:graphic>
          </wp:inline>
        </w:drawing>
      </w:r>
      <w:r w:rsidRPr="007F771E">
        <w:rPr>
          <w:rFonts w:ascii="Times New Roman" w:hAnsi="Times New Roman" w:cs="Times New Roman"/>
          <w:sz w:val="18"/>
          <w:szCs w:val="18"/>
        </w:rPr>
        <w:t xml:space="preserve"> - коэффициент мощности при максимуме нагрузки. При отсутствии данных в договоре коэффициент принимается равным 0,9;</w:t>
      </w:r>
    </w:p>
    <w:p w14:paraId="4A53D890"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б) почасовые объемы потребления электрической энергии в соответствующей точке поставки, МВт</w:t>
      </w:r>
      <w:r w:rsidRPr="007F771E">
        <w:rPr>
          <w:rFonts w:ascii="Times New Roman" w:hAnsi="Times New Roman" w:cs="Times New Roman"/>
          <w:noProof/>
          <w:position w:val="1"/>
          <w:sz w:val="18"/>
          <w:szCs w:val="18"/>
          <w:lang w:eastAsia="ru-RU"/>
        </w:rPr>
        <w:drawing>
          <wp:inline distT="0" distB="0" distL="0" distR="0" wp14:anchorId="126241DD" wp14:editId="5E857C8C">
            <wp:extent cx="63500" cy="127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0" cy="127000"/>
                    </a:xfrm>
                    <a:prstGeom prst="rect">
                      <a:avLst/>
                    </a:prstGeom>
                    <a:noFill/>
                    <a:ln>
                      <a:noFill/>
                    </a:ln>
                  </pic:spPr>
                </pic:pic>
              </a:graphicData>
            </a:graphic>
          </wp:inline>
        </w:drawing>
      </w:r>
      <w:r w:rsidRPr="007F771E">
        <w:rPr>
          <w:rFonts w:ascii="Times New Roman" w:hAnsi="Times New Roman" w:cs="Times New Roman"/>
          <w:sz w:val="18"/>
          <w:szCs w:val="18"/>
        </w:rPr>
        <w:t>ч, определяются по формуле:</w:t>
      </w:r>
    </w:p>
    <w:p w14:paraId="0DA7EEC6" w14:textId="77777777" w:rsidR="000906DE" w:rsidRPr="007F771E" w:rsidRDefault="000906DE" w:rsidP="000906DE">
      <w:pPr>
        <w:autoSpaceDE w:val="0"/>
        <w:autoSpaceDN w:val="0"/>
        <w:adjustRightInd w:val="0"/>
        <w:spacing w:after="0" w:line="240" w:lineRule="auto"/>
        <w:jc w:val="both"/>
        <w:rPr>
          <w:rFonts w:ascii="Times New Roman" w:hAnsi="Times New Roman" w:cs="Times New Roman"/>
          <w:sz w:val="18"/>
          <w:szCs w:val="18"/>
        </w:rPr>
      </w:pPr>
    </w:p>
    <w:p w14:paraId="7E7FC8F7"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074D9DED" w14:textId="77777777" w:rsidR="000906DE" w:rsidRPr="007F771E" w:rsidRDefault="000906DE" w:rsidP="000906DE">
      <w:pPr>
        <w:autoSpaceDE w:val="0"/>
        <w:autoSpaceDN w:val="0"/>
        <w:adjustRightInd w:val="0"/>
        <w:spacing w:after="0" w:line="240" w:lineRule="auto"/>
        <w:jc w:val="center"/>
        <w:rPr>
          <w:rFonts w:ascii="Times New Roman" w:hAnsi="Times New Roman" w:cs="Times New Roman"/>
          <w:sz w:val="18"/>
          <w:szCs w:val="18"/>
        </w:rPr>
      </w:pPr>
      <w:r w:rsidRPr="007F771E">
        <w:rPr>
          <w:rFonts w:ascii="Times New Roman" w:hAnsi="Times New Roman" w:cs="Times New Roman"/>
          <w:noProof/>
          <w:position w:val="-20"/>
          <w:sz w:val="18"/>
          <w:szCs w:val="18"/>
          <w:lang w:eastAsia="ru-RU"/>
        </w:rPr>
        <w:drawing>
          <wp:inline distT="0" distB="0" distL="0" distR="0" wp14:anchorId="4207E8B7" wp14:editId="447796DD">
            <wp:extent cx="572770" cy="3898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770" cy="389890"/>
                    </a:xfrm>
                    <a:prstGeom prst="rect">
                      <a:avLst/>
                    </a:prstGeom>
                    <a:noFill/>
                    <a:ln>
                      <a:noFill/>
                    </a:ln>
                  </pic:spPr>
                </pic:pic>
              </a:graphicData>
            </a:graphic>
          </wp:inline>
        </w:drawing>
      </w:r>
      <w:r w:rsidRPr="007F771E">
        <w:rPr>
          <w:rFonts w:ascii="Times New Roman" w:hAnsi="Times New Roman" w:cs="Times New Roman"/>
          <w:sz w:val="18"/>
          <w:szCs w:val="18"/>
        </w:rPr>
        <w:t>,</w:t>
      </w:r>
    </w:p>
    <w:p w14:paraId="47B039AE"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4EA1A4F9"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 xml:space="preserve">где W - объем потребления электрической энергии в соответствующей точке поставки, определенный в соответствии с </w:t>
      </w:r>
      <w:hyperlink w:anchor="Par15" w:history="1">
        <w:r w:rsidRPr="007F771E">
          <w:rPr>
            <w:rFonts w:ascii="Times New Roman" w:hAnsi="Times New Roman" w:cs="Times New Roman"/>
            <w:color w:val="0000FF"/>
            <w:sz w:val="18"/>
            <w:szCs w:val="18"/>
          </w:rPr>
          <w:t>подпунктом "а"</w:t>
        </w:r>
      </w:hyperlink>
      <w:r w:rsidRPr="007F771E">
        <w:rPr>
          <w:rFonts w:ascii="Times New Roman" w:hAnsi="Times New Roman" w:cs="Times New Roman"/>
          <w:sz w:val="18"/>
          <w:szCs w:val="18"/>
        </w:rPr>
        <w:t xml:space="preserve"> настоящего пункта, МВт·ч.</w:t>
      </w:r>
    </w:p>
    <w:p w14:paraId="2A42B95A"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2. Объем бездоговорного потребления электрической энергии, МВт</w:t>
      </w:r>
      <w:r w:rsidRPr="007F771E">
        <w:rPr>
          <w:rFonts w:ascii="Times New Roman" w:hAnsi="Times New Roman" w:cs="Times New Roman"/>
          <w:noProof/>
          <w:position w:val="1"/>
          <w:sz w:val="18"/>
          <w:szCs w:val="18"/>
          <w:lang w:eastAsia="ru-RU"/>
        </w:rPr>
        <w:drawing>
          <wp:inline distT="0" distB="0" distL="0" distR="0" wp14:anchorId="3AE362B8" wp14:editId="404EFCCB">
            <wp:extent cx="63500" cy="127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0" cy="127000"/>
                    </a:xfrm>
                    <a:prstGeom prst="rect">
                      <a:avLst/>
                    </a:prstGeom>
                    <a:noFill/>
                    <a:ln>
                      <a:noFill/>
                    </a:ln>
                  </pic:spPr>
                </pic:pic>
              </a:graphicData>
            </a:graphic>
          </wp:inline>
        </w:drawing>
      </w:r>
      <w:r w:rsidRPr="007F771E">
        <w:rPr>
          <w:rFonts w:ascii="Times New Roman" w:hAnsi="Times New Roman" w:cs="Times New Roman"/>
          <w:sz w:val="18"/>
          <w:szCs w:val="18"/>
        </w:rPr>
        <w:t>ч, определяется исходя из величины допустимой длительной токовой нагрузки каждого вводного провода (кабеля) по формулам:</w:t>
      </w:r>
    </w:p>
    <w:p w14:paraId="5CCD83D1" w14:textId="77777777" w:rsidR="000906DE" w:rsidRPr="007F771E" w:rsidRDefault="000906DE" w:rsidP="000906DE">
      <w:pPr>
        <w:autoSpaceDE w:val="0"/>
        <w:autoSpaceDN w:val="0"/>
        <w:adjustRightInd w:val="0"/>
        <w:spacing w:before="200"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для однофазного ввода:</w:t>
      </w:r>
    </w:p>
    <w:p w14:paraId="5346C5C3"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5D1DA5B3" w14:textId="77777777" w:rsidR="000906DE" w:rsidRPr="007F771E" w:rsidRDefault="000906DE" w:rsidP="000906DE">
      <w:pPr>
        <w:autoSpaceDE w:val="0"/>
        <w:autoSpaceDN w:val="0"/>
        <w:adjustRightInd w:val="0"/>
        <w:spacing w:after="0" w:line="240" w:lineRule="auto"/>
        <w:jc w:val="center"/>
        <w:rPr>
          <w:rFonts w:ascii="Times New Roman" w:hAnsi="Times New Roman" w:cs="Times New Roman"/>
          <w:sz w:val="18"/>
          <w:szCs w:val="18"/>
        </w:rPr>
      </w:pPr>
      <w:r w:rsidRPr="007F771E">
        <w:rPr>
          <w:rFonts w:ascii="Times New Roman" w:hAnsi="Times New Roman" w:cs="Times New Roman"/>
          <w:noProof/>
          <w:position w:val="-23"/>
          <w:sz w:val="18"/>
          <w:szCs w:val="18"/>
          <w:lang w:eastAsia="ru-RU"/>
        </w:rPr>
        <w:drawing>
          <wp:inline distT="0" distB="0" distL="0" distR="0" wp14:anchorId="3144CA51" wp14:editId="371265B6">
            <wp:extent cx="1788795" cy="42164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8795" cy="421640"/>
                    </a:xfrm>
                    <a:prstGeom prst="rect">
                      <a:avLst/>
                    </a:prstGeom>
                    <a:noFill/>
                    <a:ln>
                      <a:noFill/>
                    </a:ln>
                  </pic:spPr>
                </pic:pic>
              </a:graphicData>
            </a:graphic>
          </wp:inline>
        </w:drawing>
      </w:r>
      <w:r w:rsidRPr="007F771E">
        <w:rPr>
          <w:rFonts w:ascii="Times New Roman" w:hAnsi="Times New Roman" w:cs="Times New Roman"/>
          <w:sz w:val="18"/>
          <w:szCs w:val="18"/>
        </w:rPr>
        <w:t>,</w:t>
      </w:r>
    </w:p>
    <w:p w14:paraId="556AB864"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7A30B189"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для трехфазного ввода:</w:t>
      </w:r>
    </w:p>
    <w:p w14:paraId="3917D379"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6218A8CA" w14:textId="77777777" w:rsidR="000906DE" w:rsidRPr="007F771E" w:rsidRDefault="000906DE" w:rsidP="000906DE">
      <w:pPr>
        <w:autoSpaceDE w:val="0"/>
        <w:autoSpaceDN w:val="0"/>
        <w:adjustRightInd w:val="0"/>
        <w:spacing w:after="0" w:line="240" w:lineRule="auto"/>
        <w:jc w:val="center"/>
        <w:rPr>
          <w:rFonts w:ascii="Times New Roman" w:hAnsi="Times New Roman" w:cs="Times New Roman"/>
          <w:sz w:val="18"/>
          <w:szCs w:val="18"/>
        </w:rPr>
      </w:pPr>
      <w:r w:rsidRPr="007F771E">
        <w:rPr>
          <w:rFonts w:ascii="Times New Roman" w:hAnsi="Times New Roman" w:cs="Times New Roman"/>
          <w:noProof/>
          <w:position w:val="-23"/>
          <w:sz w:val="18"/>
          <w:szCs w:val="18"/>
          <w:lang w:eastAsia="ru-RU"/>
        </w:rPr>
        <w:drawing>
          <wp:inline distT="0" distB="0" distL="0" distR="0" wp14:anchorId="57D4BA40" wp14:editId="16FA1FDD">
            <wp:extent cx="1939925" cy="4216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9925" cy="421640"/>
                    </a:xfrm>
                    <a:prstGeom prst="rect">
                      <a:avLst/>
                    </a:prstGeom>
                    <a:noFill/>
                    <a:ln>
                      <a:noFill/>
                    </a:ln>
                  </pic:spPr>
                </pic:pic>
              </a:graphicData>
            </a:graphic>
          </wp:inline>
        </w:drawing>
      </w:r>
      <w:r w:rsidRPr="007F771E">
        <w:rPr>
          <w:rFonts w:ascii="Times New Roman" w:hAnsi="Times New Roman" w:cs="Times New Roman"/>
          <w:sz w:val="18"/>
          <w:szCs w:val="18"/>
        </w:rPr>
        <w:t>,</w:t>
      </w:r>
    </w:p>
    <w:p w14:paraId="6710336F"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7392124C"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r w:rsidRPr="007F771E">
        <w:rPr>
          <w:rFonts w:ascii="Times New Roman" w:hAnsi="Times New Roman" w:cs="Times New Roman"/>
          <w:sz w:val="18"/>
          <w:szCs w:val="18"/>
        </w:rPr>
        <w:t>где T</w:t>
      </w:r>
      <w:r w:rsidRPr="007F771E">
        <w:rPr>
          <w:rFonts w:ascii="Times New Roman" w:hAnsi="Times New Roman" w:cs="Times New Roman"/>
          <w:sz w:val="18"/>
          <w:szCs w:val="18"/>
          <w:vertAlign w:val="superscript"/>
        </w:rPr>
        <w:t>бд</w:t>
      </w:r>
      <w:r w:rsidRPr="007F771E">
        <w:rPr>
          <w:rFonts w:ascii="Times New Roman" w:hAnsi="Times New Roman" w:cs="Times New Roman"/>
          <w:sz w:val="18"/>
          <w:szCs w:val="18"/>
        </w:rPr>
        <w:t xml:space="preserve"> - количество часов в определенном в соответствии с </w:t>
      </w:r>
      <w:hyperlink r:id="rId29" w:history="1">
        <w:r w:rsidRPr="007F771E">
          <w:rPr>
            <w:rFonts w:ascii="Times New Roman" w:hAnsi="Times New Roman" w:cs="Times New Roman"/>
            <w:color w:val="0000FF"/>
            <w:sz w:val="18"/>
            <w:szCs w:val="18"/>
          </w:rPr>
          <w:t>пунктом 189</w:t>
        </w:r>
      </w:hyperlink>
      <w:r w:rsidRPr="007F771E">
        <w:rPr>
          <w:rFonts w:ascii="Times New Roman" w:hAnsi="Times New Roman" w:cs="Times New Roman"/>
          <w:sz w:val="18"/>
          <w:szCs w:val="18"/>
        </w:rPr>
        <w:t xml:space="preserve"> Основных положений функционирования розничных рынков электрической энергии периоде времени, в течение которого осуществлялось бездоговорное потребление, но не более чем 8760 часов, ч.</w:t>
      </w:r>
    </w:p>
    <w:p w14:paraId="45D4D9CE" w14:textId="77777777" w:rsidR="000906DE" w:rsidRPr="007F771E" w:rsidRDefault="000906DE" w:rsidP="000906DE">
      <w:pPr>
        <w:autoSpaceDE w:val="0"/>
        <w:autoSpaceDN w:val="0"/>
        <w:adjustRightInd w:val="0"/>
        <w:spacing w:after="0" w:line="240" w:lineRule="auto"/>
        <w:ind w:firstLine="540"/>
        <w:jc w:val="both"/>
        <w:rPr>
          <w:rFonts w:ascii="Times New Roman" w:hAnsi="Times New Roman" w:cs="Times New Roman"/>
          <w:sz w:val="18"/>
          <w:szCs w:val="18"/>
        </w:rPr>
      </w:pPr>
    </w:p>
    <w:p w14:paraId="11B498C4" w14:textId="77777777" w:rsidR="000906DE" w:rsidRPr="007F771E" w:rsidRDefault="000906DE" w:rsidP="000906DE">
      <w:pPr>
        <w:shd w:val="clear" w:color="auto" w:fill="FFFFFF"/>
        <w:spacing w:before="600" w:after="600" w:line="240" w:lineRule="auto"/>
        <w:outlineLvl w:val="0"/>
        <w:rPr>
          <w:rFonts w:ascii="Times New Roman" w:eastAsia="Times New Roman" w:hAnsi="Times New Roman" w:cs="Times New Roman"/>
          <w:color w:val="000000"/>
          <w:kern w:val="36"/>
          <w:sz w:val="18"/>
          <w:szCs w:val="18"/>
          <w:lang w:eastAsia="ru-RU"/>
        </w:rPr>
      </w:pPr>
    </w:p>
    <w:p w14:paraId="58556461" w14:textId="77777777" w:rsidR="000906DE" w:rsidRPr="007F771E" w:rsidRDefault="000906DE" w:rsidP="000906DE">
      <w:pPr>
        <w:rPr>
          <w:rFonts w:ascii="Times New Roman" w:hAnsi="Times New Roman" w:cs="Times New Roman"/>
          <w:sz w:val="18"/>
          <w:szCs w:val="18"/>
        </w:rPr>
      </w:pPr>
    </w:p>
    <w:p w14:paraId="5EF8BA86" w14:textId="77777777" w:rsidR="00757F23" w:rsidRPr="007F771E" w:rsidRDefault="0067195C">
      <w:pPr>
        <w:rPr>
          <w:rFonts w:ascii="Times New Roman" w:hAnsi="Times New Roman" w:cs="Times New Roman"/>
          <w:sz w:val="18"/>
          <w:szCs w:val="18"/>
        </w:rPr>
      </w:pPr>
    </w:p>
    <w:sectPr w:rsidR="00757F23" w:rsidRPr="007F77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CC"/>
    <w:rsid w:val="000906DE"/>
    <w:rsid w:val="004A5B5E"/>
    <w:rsid w:val="0067195C"/>
    <w:rsid w:val="007F771E"/>
    <w:rsid w:val="00AA38BA"/>
    <w:rsid w:val="00B437CC"/>
    <w:rsid w:val="00F10C5C"/>
    <w:rsid w:val="00F73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CAF3"/>
  <w15:chartTrackingRefBased/>
  <w15:docId w15:val="{085D7346-72FE-4617-86D2-76AA5158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06DE"/>
    <w:rPr>
      <w:color w:val="0563C1" w:themeColor="hyperlink"/>
      <w:u w:val="single"/>
    </w:rPr>
  </w:style>
  <w:style w:type="character" w:styleId="a4">
    <w:name w:val="Strong"/>
    <w:basedOn w:val="a0"/>
    <w:uiPriority w:val="22"/>
    <w:qFormat/>
    <w:rsid w:val="000906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3A3CF35D3E6F78DDF237F679378B2E324899ED389652D8DC880F43030091B7EEB17FC3B7505E78F73EF327E7D8FF6E0F7DB476163E03C7p4l8G" TargetMode="External"/><Relationship Id="rId13" Type="http://schemas.openxmlformats.org/officeDocument/2006/relationships/hyperlink" Target="consultantplus://offline/ref=4D3A3CF35D3E6F78DDF237F679378B2E324899ED389652D8DC880F43030091B7EEB17FC3B7505E78F03EF327E7D8FF6E0F7DB476163E03C7p4l8G" TargetMode="External"/><Relationship Id="rId18" Type="http://schemas.openxmlformats.org/officeDocument/2006/relationships/hyperlink" Target="consultantplus://offline/ref=4D3A3CF35D3E6F78DDF237F679378B2E324899ED389652D8DC880F43030091B7EEB17FC3B7525C78F23EF327E7D8FF6E0F7DB476163E03C7p4l8G" TargetMode="External"/><Relationship Id="rId26" Type="http://schemas.openxmlformats.org/officeDocument/2006/relationships/image" Target="media/image6.wmf"/><Relationship Id="rId3" Type="http://schemas.openxmlformats.org/officeDocument/2006/relationships/webSettings" Target="webSettings.xml"/><Relationship Id="rId21" Type="http://schemas.openxmlformats.org/officeDocument/2006/relationships/image" Target="media/image1.wmf"/><Relationship Id="rId7" Type="http://schemas.openxmlformats.org/officeDocument/2006/relationships/hyperlink" Target="consultantplus://offline/ref=4D3A3CF35D3E6F78DDF237F679378B2E324899ED389652D8DC880F43030091B7EEB17FC0B7575E73A064E323AE8FF3720E60AA77083Ep0l1G" TargetMode="External"/><Relationship Id="rId12" Type="http://schemas.openxmlformats.org/officeDocument/2006/relationships/hyperlink" Target="consultantplus://offline/ref=4D3A3CF35D3E6F78DDF237F679378B2E35419DE3389C52D8DC880F43030091B7EEB17FC3B752587BF53EF327E7D8FF6E0F7DB476163E03C7p4l8G" TargetMode="External"/><Relationship Id="rId17" Type="http://schemas.openxmlformats.org/officeDocument/2006/relationships/hyperlink" Target="consultantplus://offline/ref=4D3A3CF35D3E6F78DDF237F679378B2E324899ED389652D8DC880F43030091B7EEB17FC3B7505E78F13EF327E7D8FF6E0F7DB476163E03C7p4l8G" TargetMode="External"/><Relationship Id="rId25" Type="http://schemas.openxmlformats.org/officeDocument/2006/relationships/image" Target="media/image5.wmf"/><Relationship Id="rId2" Type="http://schemas.openxmlformats.org/officeDocument/2006/relationships/settings" Target="settings.xml"/><Relationship Id="rId16" Type="http://schemas.openxmlformats.org/officeDocument/2006/relationships/hyperlink" Target="consultantplus://offline/ref=4D3A3CF35D3E6F78DDF237F679378B2E324899ED389652D8DC880F43030091B7EEB17FC0B75B5C73A064E323AE8FF3720E60AA77083Ep0l1G" TargetMode="External"/><Relationship Id="rId20" Type="http://schemas.openxmlformats.org/officeDocument/2006/relationships/hyperlink" Target="consultantplus://offline/ref=4D9F0F6987FEDC68E5DDB365B105FF5B4B963472D2782DAAAC306D63A97B7CCF9AC79D53E787556A86CD87E9E60F6855CAFDC1A591E9C795f9pDG" TargetMode="External"/><Relationship Id="rId29" Type="http://schemas.openxmlformats.org/officeDocument/2006/relationships/hyperlink" Target="consultantplus://offline/ref=4D9F0F6987FEDC68E5DDB365B105FF5B4B963472D2782DAAAC306D63A97B7CCF9AC79D50E6855167D39797EDAF586449CBE0DFA48FE9fCp5G" TargetMode="External"/><Relationship Id="rId1" Type="http://schemas.openxmlformats.org/officeDocument/2006/relationships/styles" Target="styles.xml"/><Relationship Id="rId6" Type="http://schemas.openxmlformats.org/officeDocument/2006/relationships/hyperlink" Target="consultantplus://offline/ref=0A230EC701C7A73A348AADAC5D085E32982A63423A2F010B0D013BE8DBDFDC88031EC7ACBF55D38FC6B1AA0261F31BF165A225C3A5A9S7j6G" TargetMode="External"/><Relationship Id="rId11" Type="http://schemas.openxmlformats.org/officeDocument/2006/relationships/hyperlink" Target="consultantplus://offline/ref=4D3A3CF35D3E6F78DDF237F679378B2E32469AEA3F9B52D8DC880F43030091B7EEB17FC3B752587AFC3EF327E7D8FF6E0F7DB476163E03C7p4l8G" TargetMode="External"/><Relationship Id="rId24" Type="http://schemas.openxmlformats.org/officeDocument/2006/relationships/image" Target="media/image4.wmf"/><Relationship Id="rId5" Type="http://schemas.openxmlformats.org/officeDocument/2006/relationships/hyperlink" Target="consultantplus://offline/ref=0A230EC701C7A73A348AADAC5D085E32982A63423A2F010B0D013BE8DBDFDC88031EC7ACB154D78FC6B1AA0261F31BF165A225C3A5A9S7j6G" TargetMode="External"/><Relationship Id="rId15" Type="http://schemas.openxmlformats.org/officeDocument/2006/relationships/hyperlink" Target="consultantplus://offline/ref=4D3A3CF35D3E6F78DDF237F679378B2E324899ED389652D8DC880F43030091B7EEB17FC0B75A5F73A064E323AE8FF3720E60AA77083Ep0l1G" TargetMode="External"/><Relationship Id="rId23" Type="http://schemas.openxmlformats.org/officeDocument/2006/relationships/image" Target="media/image3.wmf"/><Relationship Id="rId28" Type="http://schemas.openxmlformats.org/officeDocument/2006/relationships/image" Target="media/image8.wmf"/><Relationship Id="rId10" Type="http://schemas.openxmlformats.org/officeDocument/2006/relationships/hyperlink" Target="consultantplus://offline/ref=4D3A3CF35D3E6F78DDF237F679378B2E324899ED389652D8DC880F43030091B7EEB17FC3B7525B70FC3EF327E7D8FF6E0F7DB476163E03C7p4l8G" TargetMode="External"/><Relationship Id="rId19" Type="http://schemas.openxmlformats.org/officeDocument/2006/relationships/hyperlink" Target="consultantplus://offline/ref=4D3A3CF35D3E6F78DDF237F679378B2E324899ED389652D8DC880F43030091B7EEB17FC0B7575E73A064E323AE8FF3720E60AA77083Ep0l1G" TargetMode="External"/><Relationship Id="rId31" Type="http://schemas.openxmlformats.org/officeDocument/2006/relationships/theme" Target="theme/theme1.xml"/><Relationship Id="rId4" Type="http://schemas.openxmlformats.org/officeDocument/2006/relationships/hyperlink" Target="consultantplus://offline/ref=0A230EC701C7A73A348AADAC5D085E32982A63423A2F010B0D013BE8DBDFDC88031EC7ACB154D78FC6B1AA0261F31BF165A225C3A5A9S7j6G" TargetMode="External"/><Relationship Id="rId9" Type="http://schemas.openxmlformats.org/officeDocument/2006/relationships/hyperlink" Target="consultantplus://offline/ref=4D3A3CF35D3E6F78DDF237F679378B2E324899ED389652D8DC880F43030091B7EEB17FC3B7525B70FC3EF327E7D8FF6E0F7DB476163E03C7p4l8G" TargetMode="External"/><Relationship Id="rId14" Type="http://schemas.openxmlformats.org/officeDocument/2006/relationships/hyperlink" Target="consultantplus://offline/ref=4D3A3CF35D3E6F78DDF237F679378B2E324899ED389652D8DC880F43030091B7EEB17FC0B75A5F73A064E323AE8FF3720E60AA77083Ep0l1G" TargetMode="External"/><Relationship Id="rId22" Type="http://schemas.openxmlformats.org/officeDocument/2006/relationships/image" Target="media/image2.wmf"/><Relationship Id="rId27" Type="http://schemas.openxmlformats.org/officeDocument/2006/relationships/image" Target="media/image7.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4506</Words>
  <Characters>25685</Characters>
  <Application>Microsoft Office Word</Application>
  <DocSecurity>0</DocSecurity>
  <Lines>214</Lines>
  <Paragraphs>60</Paragraphs>
  <ScaleCrop>false</ScaleCrop>
  <Company>InterRAO</Company>
  <LinksUpToDate>false</LinksUpToDate>
  <CharactersWithSpaces>30131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Казбулатова Альбина Альбертовна</dc:creator>
  <cp:keywords/>
  <dc:description/>
  <cp:lastModifiedBy>Content</cp:lastModifiedBy>
  <cp:revision>3</cp:revision>
  <dcterms:created xsi:type="dcterms:W3CDTF">2022-03-21T08:34:00Z</dcterms:created>
  <dcterms:modified xsi:type="dcterms:W3CDTF">2022-03-21T09:23:00Z</dcterms:modified>
</cp:coreProperties>
</file>