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4"/>
        <w:ind w:left="0" w:right="0" w:firstLine="0"/>
        <w:jc w:val="center"/>
        <w:spacing w:before="600" w:after="600" w:line="68" w:lineRule="atLeast"/>
        <w:shd w:val="clear" w:color="ffffff" w:fill="ffffff"/>
        <w:rPr>
          <w:rFonts w:ascii="Liberation Sans" w:hAnsi="Liberation Sans" w:eastAsia="Liberation Sans" w:cs="Liberation Sans"/>
          <w:b/>
          <w:bCs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00000"/>
          <w:sz w:val="24"/>
          <w:szCs w:val="22"/>
        </w:rPr>
        <w:t xml:space="preserve">Порядок расчёта КР на СОИ до и после вступления</w:t>
        <w:br/>
      </w:r>
      <w:r>
        <w:rPr>
          <w:rFonts w:ascii="Liberation Sans" w:hAnsi="Liberation Sans" w:eastAsia="Liberation Sans" w:cs="Liberation Sans"/>
          <w:sz w:val="24"/>
          <w:szCs w:val="22"/>
        </w:rPr>
      </w:r>
      <w:r>
        <w:rPr>
          <w:rFonts w:ascii="Liberation Sans" w:hAnsi="Liberation Sans" w:eastAsia="Liberation Sans" w:cs="Liberation Sans"/>
          <w:b/>
          <w:color w:val="000000"/>
          <w:sz w:val="24"/>
          <w:szCs w:val="22"/>
        </w:rPr>
        <w:t xml:space="preserve">в силу Постановления № 92</w:t>
      </w:r>
      <w:r>
        <w:rPr>
          <w:sz w:val="22"/>
          <w:szCs w:val="22"/>
        </w:rPr>
      </w:r>
      <w:r/>
      <w:r>
        <w:rPr>
          <w:rFonts w:ascii="Liberation Sans" w:hAnsi="Liberation Sans" w:eastAsia="Liberation Sans" w:cs="Liberation Sans"/>
          <w:b/>
          <w:bCs/>
          <w:color w:val="000000"/>
          <w:sz w:val="24"/>
          <w:szCs w:val="24"/>
        </w:rPr>
      </w:r>
      <w:r/>
      <w:r/>
      <w:r>
        <w:rPr>
          <w:rFonts w:ascii="Liberation Sans" w:hAnsi="Liberation Sans" w:eastAsia="Liberation Sans" w:cs="Liberation Sans"/>
          <w:b/>
          <w:bCs/>
          <w:color w:val="000000"/>
          <w:sz w:val="24"/>
          <w:szCs w:val="24"/>
        </w:rPr>
      </w:r>
      <w:r/>
      <w:r/>
      <w:r>
        <w:rPr>
          <w:rFonts w:ascii="Liberation Sans" w:hAnsi="Liberation Sans" w:eastAsia="Liberation Sans" w:cs="Liberation Sans"/>
          <w:b/>
          <w:bCs/>
          <w:color w:val="000000"/>
          <w:sz w:val="24"/>
          <w:szCs w:val="24"/>
        </w:rPr>
      </w:r>
    </w:p>
    <w:p>
      <w:pPr>
        <w:ind w:left="0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С 1 сентября 2022 года плату за коммунальные ресурсы рассчитывают по новым правилам. Вступило в силу постановление Правительства РФ от 03.02.2022 № 92 «О внесении изменений в некоторые акты Правительства Российской Федерации по вопросам предоставления комм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унальных услуг и содержания общего имущества в многоквартирном доме».</w:t>
      </w:r>
      <w:r>
        <w:rPr>
          <w:sz w:val="20"/>
          <w:szCs w:val="20"/>
        </w:rPr>
      </w:r>
    </w:p>
    <w:p>
      <w:pPr>
        <w:ind w:left="0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Документом были внесены изменения в Правила № 354, № 491 и № 124 в части предоставления коммунальных услуг и содержания общего имущества в многоквартирных домах. Постановлением № 92 был детализирован порядок определения размера платы за коммунальные ресурс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ы. Методика и формулы расчёта зависят от нескольких факторов: наличия в многоквартирном доме коллективных приборов учёта, автоматизированных измерительных систем учёта коммунальных ресурсов, решения общего собрания собственников по способам расчёта за соде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ржание общего имущества.</w:t>
      </w:r>
      <w:r>
        <w:rPr>
          <w:sz w:val="20"/>
          <w:szCs w:val="20"/>
        </w:rPr>
      </w:r>
    </w:p>
    <w:p>
      <w:pPr>
        <w:ind w:left="0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Основные изменения в порядке расчёта коммунальных ресурсов на содержание общего имущества (КР на СОИ) приведены в таблице 1. (Коммунальный ресурсы (далее -КР), Содержание общего имущества (далее -СОИ) *</w:t>
      </w:r>
      <w:r>
        <w:rPr>
          <w:sz w:val="20"/>
          <w:szCs w:val="20"/>
        </w:rPr>
      </w:r>
    </w:p>
    <w:p>
      <w:pPr>
        <w:ind w:left="0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12529"/>
          <w:sz w:val="22"/>
          <w:szCs w:val="20"/>
        </w:rPr>
        <w:t xml:space="preserve">Таблица 1. Порядок расчёта КР на СОИ до и после вступления в силу Постановления № 92</w:t>
      </w:r>
      <w:r>
        <w:rPr>
          <w:sz w:val="20"/>
          <w:szCs w:val="20"/>
        </w:rPr>
      </w:r>
    </w:p>
    <w:tbl>
      <w:tblPr>
        <w:tblStyle w:val="4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05"/>
        <w:gridCol w:w="4849"/>
      </w:tblGrid>
      <w:tr>
        <w:tblPrEx/>
        <w:trPr/>
        <w:tc>
          <w:tcPr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4505" w:type="dxa"/>
            <w:vAlign w:val="center"/>
            <w:textDirection w:val="lrTb"/>
            <w:noWrap w:val="false"/>
          </w:tcPr>
          <w:p>
            <w:pPr>
              <w:ind w:left="0" w:right="0" w:firstLine="425"/>
              <w:jc w:val="center"/>
              <w:spacing w:before="0"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до вступления постановления № 92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afafa" w:fill="fafaf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4849" w:type="dxa"/>
            <w:vAlign w:val="center"/>
            <w:textDirection w:val="lrTb"/>
            <w:noWrap w:val="false"/>
          </w:tcPr>
          <w:p>
            <w:pPr>
              <w:ind w:left="0" w:right="0" w:firstLine="425"/>
              <w:jc w:val="center"/>
              <w:spacing w:before="0"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после вступления постановления № 92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4505" w:type="dxa"/>
            <w:vAlign w:val="center"/>
            <w:textDirection w:val="lrTb"/>
            <w:noWrap w:val="false"/>
          </w:tcPr>
          <w:p>
            <w:pPr>
              <w:pStyle w:val="622"/>
              <w:numPr>
                <w:ilvl w:val="0"/>
                <w:numId w:val="1"/>
              </w:numPr>
              <w:ind w:left="0" w:right="0" w:firstLine="425"/>
              <w:spacing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Использовали три варианта расчётов за СОИ (п. 9.2 ст. 156 ЖК РФ).Исходя из норматива. Норматив применялся на основании решения региональных властей с учётом технических особенностей дома. Для разных типов жилых зданий устанавливался свой норматив с учётом </w:t>
            </w: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этажности, степени благоустройства дома и возможности подключения коллективных приборов учёта.</w:t>
            </w:r>
            <w:r>
              <w:rPr>
                <w:sz w:val="20"/>
                <w:szCs w:val="20"/>
              </w:rPr>
            </w:r>
          </w:p>
          <w:p>
            <w:pPr>
              <w:pStyle w:val="622"/>
              <w:numPr>
                <w:ilvl w:val="0"/>
                <w:numId w:val="1"/>
              </w:numPr>
              <w:ind w:left="0" w:right="0" w:firstLine="425"/>
              <w:spacing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Исходя из показаний автоматизированных информационно-измерительных систем учёта потребления коммунальных ресурсов и услуг (умных счётчиков) — при их наличии в доме. Счётчики позволяют одномоментно снять показания с индивидуальных и общедомовых приборов учё</w:t>
            </w: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та. Разница между суммой индивидуальных счётчиков и общедомовым принималась за объём коммунального ресурса, потраченного на содержание общедомового имущества.</w:t>
            </w:r>
            <w:r>
              <w:rPr>
                <w:sz w:val="20"/>
                <w:szCs w:val="20"/>
              </w:rPr>
            </w:r>
          </w:p>
          <w:p>
            <w:pPr>
              <w:pStyle w:val="622"/>
              <w:numPr>
                <w:ilvl w:val="0"/>
                <w:numId w:val="1"/>
              </w:numPr>
              <w:ind w:left="0" w:right="0" w:firstLine="425"/>
              <w:spacing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По фактическому или среднемесячному потреблению с последующей корректировкой. Решение о выборе способа принималось на общем собрании собственников жилья.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225" w:type="dxa"/>
              <w:top w:w="225" w:type="dxa"/>
              <w:right w:w="225" w:type="dxa"/>
              <w:bottom w:w="225" w:type="dxa"/>
            </w:tcMar>
            <w:tcW w:w="4849" w:type="dxa"/>
            <w:vAlign w:val="center"/>
            <w:textDirection w:val="lrTb"/>
            <w:noWrap w:val="false"/>
          </w:tcPr>
          <w:p>
            <w:pPr>
              <w:pStyle w:val="622"/>
              <w:numPr>
                <w:ilvl w:val="0"/>
                <w:numId w:val="2"/>
              </w:numPr>
              <w:ind w:left="0" w:right="0" w:firstLine="425"/>
              <w:spacing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КР на СОИ оплачивают все потребители вне зависимости от конструктивных особенностей дома, возможностей установки общедомовых приборов учёта. В состав коммунальных ресурсов, подлежащих обязательной оплате за СОИ, включены: холодное и горячее водоснабжение, </w:t>
            </w: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электрическая энергия, отведение сточных вод (канализация). </w:t>
            </w:r>
            <w:r>
              <w:rPr>
                <w:rFonts w:ascii="Liberation Sans" w:hAnsi="Liberation Sans" w:eastAsia="Liberation Sans" w:cs="Liberation Sans"/>
                <w:b/>
                <w:i/>
                <w:color w:val="212529"/>
                <w:sz w:val="22"/>
                <w:szCs w:val="20"/>
              </w:rPr>
              <w:t xml:space="preserve">Примечание:</w:t>
            </w:r>
            <w:r>
              <w:rPr>
                <w:rFonts w:ascii="Liberation Sans" w:hAnsi="Liberation Sans" w:eastAsia="Liberation Sans" w:cs="Liberation Sans"/>
                <w:i/>
                <w:color w:val="212529"/>
                <w:sz w:val="22"/>
                <w:szCs w:val="20"/>
              </w:rPr>
              <w:t xml:space="preserve"> КР на СОИ по газу законом не предусмотрено, а отопление продолжает выставляться как единая коммунальная услуга (п. 29(1) Правил № 491).</w:t>
            </w:r>
            <w:r>
              <w:rPr>
                <w:sz w:val="20"/>
                <w:szCs w:val="20"/>
              </w:rPr>
            </w:r>
          </w:p>
          <w:p>
            <w:pPr>
              <w:pStyle w:val="622"/>
              <w:numPr>
                <w:ilvl w:val="0"/>
                <w:numId w:val="2"/>
              </w:numPr>
              <w:ind w:left="0" w:right="0" w:firstLine="425"/>
              <w:spacing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Предусмотрен порядок расчёта КР на СОИ по новым формулам, в зависимости от конкретной ситуации:</w:t>
            </w:r>
            <w:r>
              <w:rPr>
                <w:sz w:val="20"/>
                <w:szCs w:val="20"/>
              </w:rPr>
            </w:r>
          </w:p>
          <w:p>
            <w:pPr>
              <w:pStyle w:val="622"/>
              <w:numPr>
                <w:ilvl w:val="0"/>
                <w:numId w:val="3"/>
              </w:numPr>
              <w:ind w:left="0" w:right="0" w:firstLine="425"/>
              <w:spacing w:before="0"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при отсутствии общедомового счётчика (выходе его из строя, истечении срока поверки) — расчёт производится по нормативу;</w:t>
            </w:r>
            <w:r>
              <w:rPr>
                <w:sz w:val="20"/>
                <w:szCs w:val="20"/>
              </w:rPr>
            </w:r>
          </w:p>
          <w:p>
            <w:pPr>
              <w:pStyle w:val="622"/>
              <w:numPr>
                <w:ilvl w:val="0"/>
                <w:numId w:val="3"/>
              </w:numPr>
              <w:ind w:left="0" w:right="0" w:firstLine="425"/>
              <w:spacing w:before="0"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если общедомовой счётчик установлен, но собственники не приняли решение о распределении КР на СОИ по факту, то в основе расчёта нужно применять норматив, который в дальнейшем пересчитывается на фактическое потребление;</w:t>
            </w:r>
            <w:r>
              <w:rPr>
                <w:sz w:val="20"/>
                <w:szCs w:val="20"/>
              </w:rPr>
            </w:r>
          </w:p>
          <w:p>
            <w:pPr>
              <w:pStyle w:val="622"/>
              <w:numPr>
                <w:ilvl w:val="0"/>
                <w:numId w:val="3"/>
              </w:numPr>
              <w:ind w:left="0" w:right="0" w:firstLine="425"/>
              <w:spacing w:before="0"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если собственники проголосовали за начисление по среднемесячному потреблению КР на СОИ, то оно выставляется в расчётном периоде, а затем корректируется на факт </w:t>
            </w:r>
            <w:r>
              <w:rPr>
                <w:rFonts w:ascii="Liberation Sans" w:hAnsi="Liberation Sans" w:eastAsia="Liberation Sans" w:cs="Liberation Sans"/>
                <w:i/>
                <w:color w:val="212529"/>
                <w:sz w:val="22"/>
                <w:szCs w:val="20"/>
              </w:rPr>
              <w:t xml:space="preserve">(такой же принцип используется при оплате КР на СОИ по факту на основе показания общедомового прибора учёта)</w:t>
            </w: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;</w:t>
            </w:r>
            <w:r>
              <w:rPr>
                <w:sz w:val="20"/>
                <w:szCs w:val="20"/>
              </w:rPr>
            </w:r>
          </w:p>
          <w:p>
            <w:pPr>
              <w:pStyle w:val="622"/>
              <w:numPr>
                <w:ilvl w:val="0"/>
                <w:numId w:val="3"/>
              </w:numPr>
              <w:ind w:left="0" w:right="0" w:firstLine="425"/>
              <w:spacing w:before="0"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если в доме установлена автоматизированная информационно-измерительная система учёта потребления коммунальных ресурсов и услуг, то КР на СОИ определяется по ней каждый месяц.</w:t>
            </w:r>
            <w:r>
              <w:rPr>
                <w:sz w:val="20"/>
                <w:szCs w:val="20"/>
              </w:rPr>
            </w:r>
          </w:p>
          <w:p>
            <w:pPr>
              <w:pStyle w:val="622"/>
              <w:numPr>
                <w:ilvl w:val="0"/>
                <w:numId w:val="4"/>
              </w:numPr>
              <w:ind w:left="0" w:right="0" w:firstLine="425"/>
              <w:spacing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Если у управляющей компании или товарищества собственников жилья -отрицательный КР на СОИ (индивидуальное потребление жителей превышает общедомовое), то плата за КР на СОИ не начисляется, а в следующем расчётном периоде (или следующих расчётных периодах), </w:t>
            </w: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уменьшается на величину отрицательного КР на СОИ. Законом установлены три случая перерасчёта (п. 29(3) Правил № 491) по КР на СОИ:</w:t>
            </w:r>
            <w:r>
              <w:rPr>
                <w:sz w:val="20"/>
                <w:szCs w:val="20"/>
              </w:rPr>
            </w:r>
          </w:p>
          <w:p>
            <w:pPr>
              <w:pStyle w:val="622"/>
              <w:numPr>
                <w:ilvl w:val="0"/>
                <w:numId w:val="5"/>
              </w:numPr>
              <w:ind w:left="0" w:right="0" w:firstLine="425"/>
              <w:spacing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если нет решения собственников о выставлении сверхнормативного объёма КР на СОИ, доначисление по КР на СОИ осуществляется каждый год, в течение I квартала года, следующего за расчётным годом (например, </w:t>
            </w:r>
            <w:r>
              <w:rPr>
                <w:rFonts w:ascii="Liberation Sans" w:hAnsi="Liberation Sans" w:eastAsia="Liberation Sans" w:cs="Liberation Sans"/>
                <w:b/>
                <w:color w:val="212529"/>
                <w:sz w:val="22"/>
                <w:szCs w:val="20"/>
              </w:rPr>
              <w:t xml:space="preserve">до 31 марта 2023 года потребители получат доначисление за весь сверхнормативный объём КР на СОИ, потреблённый за 2022 год);</w:t>
            </w:r>
            <w:r>
              <w:rPr>
                <w:sz w:val="20"/>
                <w:szCs w:val="20"/>
              </w:rPr>
            </w:r>
          </w:p>
          <w:p>
            <w:pPr>
              <w:pStyle w:val="622"/>
              <w:numPr>
                <w:ilvl w:val="0"/>
                <w:numId w:val="5"/>
              </w:numPr>
              <w:ind w:left="0" w:right="0" w:firstLine="425"/>
              <w:spacing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при прекращении управления многоквартирным домом лицом (плата доначисляется за последний месяц представления к оплате таким лицом платежного документа для внесения платы за содержание жилого помещения в таком многоквартирном доме);</w:t>
            </w:r>
            <w:r>
              <w:rPr>
                <w:sz w:val="20"/>
                <w:szCs w:val="20"/>
              </w:rPr>
            </w:r>
          </w:p>
          <w:p>
            <w:pPr>
              <w:pStyle w:val="622"/>
              <w:numPr>
                <w:ilvl w:val="0"/>
                <w:numId w:val="5"/>
              </w:numPr>
              <w:ind w:left="0" w:right="0" w:firstLine="425"/>
              <w:spacing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если собственники приняли решение о начислении КР на СОИ по факту, доначисление производится за период, предшествующий такому решению (если иное не установлено договором с лицом, осуществляющим управление многоквартирным домом).</w:t>
            </w:r>
            <w:r>
              <w:rPr>
                <w:sz w:val="20"/>
                <w:szCs w:val="20"/>
              </w:rPr>
            </w:r>
          </w:p>
          <w:p>
            <w:pPr>
              <w:pStyle w:val="622"/>
              <w:numPr>
                <w:ilvl w:val="0"/>
                <w:numId w:val="6"/>
              </w:numPr>
              <w:ind w:left="0" w:right="0" w:firstLine="425"/>
              <w:spacing w:line="240" w:lineRule="auto"/>
              <w:rPr>
                <w:sz w:val="22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В квитанции управляющие компании и товарищества собственников жилья обязаны раскрывать информацию по КР на СОИ по каждому виду коммунального ресурса (п. 29(4) Правил № 491). Если нормативы или тарифы меняются, то для дома, где нет ТСЖ, решение собственнико</w:t>
            </w:r>
            <w:r>
              <w:rPr>
                <w:rFonts w:ascii="Liberation Sans" w:hAnsi="Liberation Sans" w:eastAsia="Liberation Sans" w:cs="Liberation Sans"/>
                <w:color w:val="212529"/>
                <w:sz w:val="22"/>
                <w:szCs w:val="20"/>
              </w:rPr>
              <w:t xml:space="preserve">в об изменении размера платы за содержание жилого помещения не требуется (п. 29(5) Правил № 491).</w:t>
            </w:r>
            <w:r>
              <w:rPr>
                <w:sz w:val="20"/>
                <w:szCs w:val="20"/>
              </w:rPr>
            </w:r>
          </w:p>
        </w:tc>
      </w:tr>
    </w:tbl>
    <w:p>
      <w:pPr>
        <w:ind w:left="0" w:right="0" w:firstLine="425"/>
        <w:jc w:val="center"/>
        <w:spacing w:line="240" w:lineRule="auto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212529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212529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212529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212529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212529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212529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212529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212529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212529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212529"/>
        <w:sz w:val="24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skornyakova_ey</cp:lastModifiedBy>
  <cp:revision>1</cp:revision>
  <dcterms:modified xsi:type="dcterms:W3CDTF">2026-06-18T11:55:45Z</dcterms:modified>
</cp:coreProperties>
</file>