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erif" w:hAnsi="Liberation Serif" w:cs="Liberation Serif"/>
          <w:b/>
          <w:sz w:val="21"/>
          <w:szCs w:val="21"/>
        </w:rPr>
      </w:pPr>
      <w:r>
        <w:rPr>
          <w:rFonts w:ascii="Liberation Serif" w:hAnsi="Liberation Serif" w:cs="Liberation Serif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5120" behindDoc="1" locked="0" layoutInCell="1" allowOverlap="1">
                <wp:simplePos x="0" y="0"/>
                <wp:positionH relativeFrom="page">
                  <wp:posOffset>6115685</wp:posOffset>
                </wp:positionH>
                <wp:positionV relativeFrom="paragraph">
                  <wp:posOffset>-11430</wp:posOffset>
                </wp:positionV>
                <wp:extent cx="1187719" cy="669953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0997736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rcRect l="75497" t="0" r="1884" b="80886"/>
                        <a:stretch/>
                      </pic:blipFill>
                      <pic:spPr bwMode="auto">
                        <a:xfrm>
                          <a:off x="0" y="0"/>
                          <a:ext cx="1187719" cy="669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120;o:allowoverlap:true;o:allowincell:true;mso-position-horizontal-relative:page;margin-left:481.55pt;mso-position-horizontal:absolute;mso-position-vertical-relative:text;margin-top:-0.90pt;mso-position-vertical:absolute;width:93.52pt;height:52.75pt;mso-wrap-distance-left:9.07pt;mso-wrap-distance-top:0.00pt;mso-wrap-distance-right:9.07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Liberation Serif" w:hAnsi="Liberation Serif" w:cs="Liberation Serif"/>
          <w:b/>
          <w:sz w:val="21"/>
          <w:szCs w:val="21"/>
        </w:rPr>
        <w:t xml:space="preserve">ДОГОВОР ЭНЕРГОСНАБЖЕНИЯ</w:t>
      </w:r>
      <w:r>
        <w:rPr>
          <w:rFonts w:ascii="Liberation Serif" w:hAnsi="Liberation Serif" w:cs="Liberation Serif"/>
          <w:b/>
          <w:sz w:val="21"/>
          <w:szCs w:val="21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жилого помещения в многоквартирном доме</w:t>
      </w:r>
      <w:r>
        <w:rPr>
          <w:rFonts w:ascii="Liberation Serif" w:hAnsi="Liberation Serif" w:cs="Liberation Serif"/>
          <w:b/>
          <w:sz w:val="21"/>
          <w:szCs w:val="21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при невыбранном способе управления или непосредственной форме управления</w:t>
      </w:r>
      <w:r>
        <w:rPr>
          <w:rFonts w:ascii="Liberation Serif" w:hAnsi="Liberation Serif" w:cs="Liberation Serif"/>
          <w:b/>
          <w:sz w:val="21"/>
          <w:szCs w:val="21"/>
        </w:rPr>
      </w:r>
    </w:p>
    <w:p>
      <w:pPr>
        <w:ind w:firstLine="284"/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sz w:val="21"/>
          <w:szCs w:val="21"/>
        </w:rPr>
      </w:pPr>
      <w:r>
        <w:rPr>
          <w:rFonts w:ascii="Liberation Serif" w:hAnsi="Liberation Serif" w:cs="Liberation Serif"/>
          <w:b/>
          <w:bCs/>
          <w:sz w:val="21"/>
          <w:szCs w:val="21"/>
        </w:rPr>
      </w:r>
      <w:r>
        <w:rPr>
          <w:rFonts w:ascii="Liberation Serif" w:hAnsi="Liberation Serif" w:cs="Liberation Serif"/>
          <w:b/>
          <w:bCs/>
          <w:sz w:val="21"/>
          <w:szCs w:val="21"/>
        </w:rPr>
      </w:r>
    </w:p>
    <w:p>
      <w:pPr>
        <w:spacing w:after="0" w:line="240" w:lineRule="auto"/>
        <w:widowControl w:val="off"/>
        <w:rPr>
          <w:rFonts w:ascii="Liberation Serif" w:hAnsi="Liberation Serif" w:cs="Liberation Serif"/>
          <w:b/>
          <w:bCs/>
          <w:sz w:val="21"/>
          <w:szCs w:val="21"/>
        </w:rPr>
      </w:pPr>
      <w:r>
        <w:rPr>
          <w:rFonts w:ascii="Liberation Serif" w:hAnsi="Liberation Serif" w:cs="Liberation Serif"/>
          <w:b/>
          <w:bCs/>
          <w:sz w:val="21"/>
          <w:szCs w:val="21"/>
        </w:rPr>
      </w:r>
      <w:r>
        <w:rPr>
          <w:rFonts w:ascii="Liberation Serif" w:hAnsi="Liberation Serif" w:cs="Liberation Serif"/>
          <w:b/>
          <w:bCs/>
          <w:sz w:val="21"/>
          <w:szCs w:val="21"/>
        </w:rPr>
      </w:r>
    </w:p>
    <w:tbl>
      <w:tblPr>
        <w:tblStyle w:val="863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</w:tblGrid>
      <w:tr>
        <w:tblPrEx/>
        <w:trPr/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3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tcW w:w="874" w:type="dxa"/>
            <w:textDirection w:val="lrTb"/>
            <w:noWrap w:val="false"/>
          </w:tcPr>
          <w:p>
            <w:pPr>
              <w:ind w:firstLine="709"/>
              <w:jc w:val="center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« _</w:t>
      </w:r>
      <w:r>
        <w:rPr>
          <w:rFonts w:ascii="Liberation Serif" w:hAnsi="Liberation Serif" w:cs="Liberation Serif"/>
          <w:sz w:val="21"/>
          <w:szCs w:val="21"/>
        </w:rPr>
        <w:t xml:space="preserve">___ » _________ 20___ г. </w:t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  <w:tab/>
        <w:t xml:space="preserve">      г. Уфа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ООО "Энергетическая сбытовая компания Башкортостана",</w:t>
      </w:r>
      <w:r>
        <w:rPr>
          <w:rFonts w:ascii="Liberation Serif" w:hAnsi="Liberation Serif" w:cs="Liberation Serif"/>
          <w:sz w:val="21"/>
          <w:szCs w:val="21"/>
        </w:rPr>
        <w:t xml:space="preserve"> именуемое в дальнейшем "Гарантирующий поставщик", в лице__________________________________________________________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____________________________________________________________________________________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(должность, наименование отделения, Ф.И.О. полностью)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действующего на основании Доверенности №             </w:t>
      </w:r>
      <w:r>
        <w:rPr>
          <w:rFonts w:ascii="Liberation Serif" w:hAnsi="Liberation Serif" w:cs="Liberation Serif"/>
          <w:sz w:val="21"/>
          <w:szCs w:val="21"/>
        </w:rPr>
        <w:t xml:space="preserve">  ,</w:t>
      </w:r>
      <w:r>
        <w:rPr>
          <w:rFonts w:ascii="Liberation Serif" w:hAnsi="Liberation Serif" w:cs="Liberation Serif"/>
          <w:sz w:val="21"/>
          <w:szCs w:val="21"/>
        </w:rPr>
        <w:t xml:space="preserve"> с одной стороны, и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b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Гражданин(ка)____________________________________________________________________________</w:t>
      </w:r>
      <w:r>
        <w:rPr>
          <w:rFonts w:ascii="Liberation Serif" w:hAnsi="Liberation Serif" w:cs="Liberation Serif"/>
          <w:b/>
          <w:sz w:val="21"/>
          <w:szCs w:val="21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(Ф.И.О. гражданина полностью)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именуемый(</w:t>
      </w:r>
      <w:r>
        <w:rPr>
          <w:rFonts w:ascii="Liberation Serif" w:hAnsi="Liberation Serif" w:cs="Liberation Serif"/>
          <w:sz w:val="21"/>
          <w:szCs w:val="21"/>
        </w:rPr>
        <w:t xml:space="preserve">ая</w:t>
      </w:r>
      <w:r>
        <w:rPr>
          <w:rFonts w:ascii="Liberation Serif" w:hAnsi="Liberation Serif" w:cs="Liberation Serif"/>
          <w:sz w:val="21"/>
          <w:szCs w:val="21"/>
        </w:rPr>
        <w:t xml:space="preserve">) в дальнейшем "Потребитель", с другой стороны, и вместе именуемые "Стороны", заключили настоящий договор о нижеследующем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Предмет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Предметом настоящего Договора является поставка Гарантирующим поставщиком и покупка Потребителем электрической энергии для бытового потребления по тарифам, установленным органом, осуществляющим государственное регулирование тарифов, в том числе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электрической энергии, потребляемой при содержании и использовании общего имущества в многоквартирном доме (МКД),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на условиях, предусмотренных настоящим Договором и действующим законодательством РФ.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Гарантирующий поставщик также оказывает Потребителю услуги по передаче электрической энергии и по оперативно-диспетчерскому управлению путем заключения договоров с соответствующими субъектами розничного рынка электрической энергии.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Параметры жилого помещения Потребителя по адресу: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____________________________________________________________________________________________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количество комнат: ________________________</w:t>
      </w:r>
      <w:r>
        <w:rPr>
          <w:rFonts w:ascii="Liberation Serif" w:hAnsi="Liberation Serif" w:cs="Liberation Serif"/>
          <w:sz w:val="21"/>
          <w:szCs w:val="21"/>
        </w:rPr>
        <w:t xml:space="preserve">_  количество</w:t>
      </w:r>
      <w:r>
        <w:rPr>
          <w:rFonts w:ascii="Liberation Serif" w:hAnsi="Liberation Serif" w:cs="Liberation Serif"/>
          <w:sz w:val="21"/>
          <w:szCs w:val="21"/>
        </w:rPr>
        <w:t xml:space="preserve"> проживающих: ________________________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ind w:firstLine="709"/>
        <w:jc w:val="center"/>
        <w:spacing w:after="0" w:line="36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(индекс, город, район, улица, дом, корпус, квартира, количество комнат, количество проживающих)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ind w:left="0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Общая площадь ______ м2, жилая площадь ______ м2, в пределах максимальной мощности до ______ кВт.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Доставка Потребителю счет(а) для оплаты электрической энергии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и уведомлений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осуществляется: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6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бумажном виде по почтовому адресу, указанному в п. 1.3,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6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либо по согласованию с Потребителем - в электронном виде (без направления копии на бумажном носителе),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6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через личный кабинет Потребителя на официальном сайте Гарантирующего поставщика в информационно-телекоммуникационной сети "Интернет" (далее - сеть Интернет),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6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а также в случаях, предусмотренных законодательством, посредством размещения платежных документов через Государственную информационную систему жилищно-коммунального хозяйства (ГИС ЖКХ) </w:t>
      </w:r>
      <w:hyperlink r:id="rId12" w:tooltip="http://www.dom.gosuslugi.ru" w:history="1">
        <w:r>
          <w:rPr>
            <w:rStyle w:val="876"/>
            <w:rFonts w:ascii="Liberation Serif" w:hAnsi="Liberation Serif" w:cs="Liberation Serif"/>
            <w:sz w:val="21"/>
            <w:szCs w:val="21"/>
          </w:rPr>
          <w:t xml:space="preserve">www.dom.gosuslugi.ru</w:t>
        </w:r>
      </w:hyperlink>
      <w:r>
        <w:rPr>
          <w:rFonts w:ascii="Liberation Serif" w:hAnsi="Liberation Serif" w:cs="Liberation Serif"/>
          <w:color w:val="000000"/>
          <w:sz w:val="21"/>
          <w:szCs w:val="21"/>
        </w:rPr>
        <w:t xml:space="preserve">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Счета на оплату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6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отправления Гарантирующим поставщиком на адрес электронной почты, предоставленный Потребителем;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6"/>
        </w:numPr>
        <w:ind w:left="0" w:firstLine="0"/>
        <w:jc w:val="both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размещения Гарантирующим поставщиком в личном кабинете Потребителя на официальном сайте Гарантирующего поставщика в сети Интернет.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Качество поставляемой электрической энергии соответствует требованиям законодательства Российской Федерации.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Права и обязанности Гарантирующего поставщика.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Гарантирующий поставщик обязуется: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trike/>
          <w:color w:val="000000"/>
          <w:sz w:val="21"/>
          <w:szCs w:val="21"/>
        </w:rPr>
      </w:pPr>
      <w:r>
        <w:rPr>
          <w:rFonts w:ascii="Liberation Serif" w:hAnsi="Liberation Serif" w:cs="Liberation Serif"/>
          <w:strike/>
          <w:color w:val="000000"/>
          <w:sz w:val="21"/>
          <w:szCs w:val="21"/>
        </w:rPr>
      </w:r>
      <w:r>
        <w:rPr>
          <w:rFonts w:ascii="Liberation Serif" w:hAnsi="Liberation Serif" w:cs="Liberation Serif"/>
          <w:strike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Обеспечить соответствие качества поставляемой электрической энергии до пределов границы </w:t>
      </w:r>
      <w:r>
        <w:rPr>
          <w:rFonts w:ascii="Liberation Serif" w:hAnsi="Liberation Serif" w:cs="Liberation Serif"/>
          <w:sz w:val="21"/>
          <w:szCs w:val="21"/>
        </w:rPr>
        <w:t xml:space="preserve">балансовой принадлежности Дома требованиям технических регламентов (а до принятия соответствующих технических регламентов - обязательным требованиям ГОСТа № 32144-2013), при наличии у Потребителя электроустановок, подключенным к сетям ___________________ (</w:t>
      </w:r>
      <w:r>
        <w:rPr>
          <w:rFonts w:ascii="Liberation Serif" w:hAnsi="Liberation Serif" w:cs="Liberation Serif"/>
          <w:sz w:val="21"/>
          <w:szCs w:val="21"/>
        </w:rPr>
        <w:t xml:space="preserve">далее - Сетевая организация) (тел.: __________, сайт: ______________) в установленном порядке (Акт разграничения балансовой принадлежности от _________ № _______ и (или) Акт об осуществлении технологического присоединения от ___________ № _______________).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Контактная информация системообразующей территориальной сетевой организации на территории Республики Башкортостан: Общество с ограниченной ответственностью «Башкирские распределительные </w:t>
      </w:r>
      <w:r>
        <w:rPr>
          <w:rFonts w:ascii="Liberation Serif" w:hAnsi="Liberation Serif" w:cs="Liberation Serif"/>
          <w:sz w:val="21"/>
          <w:szCs w:val="21"/>
        </w:rPr>
        <w:t xml:space="preserve">электрические сети» (сокр. ООО «Башкирэнерго», ИНН 0277071467, КПП 027601001, ОГРН 1050204504558; 450096, РБ, г.</w:t>
      </w:r>
      <w:r>
        <w:rPr>
          <w:rFonts w:ascii="Liberation Serif" w:hAnsi="Liberation Serif" w:cs="Liberation Serif"/>
          <w:sz w:val="21"/>
          <w:szCs w:val="21"/>
        </w:rPr>
        <w:t xml:space="preserve"> </w:t>
      </w:r>
      <w:r>
        <w:rPr>
          <w:rFonts w:ascii="Liberation Serif" w:hAnsi="Liberation Serif" w:cs="Liberation Serif"/>
          <w:sz w:val="21"/>
          <w:szCs w:val="21"/>
        </w:rPr>
        <w:t xml:space="preserve">Уфа, ул. Комсомольская, 126; 8 (347) 279-73-59; www.bashkirenergo.ru)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Обеспечивать организацию коммерческого учета в случаях и порядке, определенных действующим законодательством Российской Федерации.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Осуществлять проверки условий эксплуатации, сохра</w:t>
      </w:r>
      <w:r>
        <w:rPr>
          <w:rFonts w:ascii="Liberation Serif" w:hAnsi="Liberation Serif" w:cs="Liberation Serif"/>
          <w:sz w:val="21"/>
          <w:szCs w:val="21"/>
        </w:rPr>
        <w:t xml:space="preserve">нности и состояния приборов учета, а также проверки достоверности передаваемых Потребителем показаний приборов учета, самостоятельно и (или) с привлечением представителей Сетевой организации (иного владельца электросетевого хозяйства), с периодичностью, и </w:t>
      </w:r>
      <w:r>
        <w:rPr>
          <w:rFonts w:ascii="Liberation Serif" w:hAnsi="Liberation Serif" w:cs="Liberation Serif"/>
          <w:sz w:val="21"/>
          <w:szCs w:val="21"/>
        </w:rPr>
        <w:t xml:space="preserve">в порядке</w:t>
      </w:r>
      <w:r>
        <w:rPr>
          <w:rFonts w:ascii="Liberation Serif" w:hAnsi="Liberation Serif" w:cs="Liberation Serif"/>
          <w:sz w:val="21"/>
          <w:szCs w:val="21"/>
        </w:rPr>
        <w:t xml:space="preserve"> предусмотренном действующим законодательством Российской Федерации.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Обеспечить снабжение Потребителя электрической энергией в соответствии с настоящим договором по третьей категории надежности. Подача электрической энергии Потребителю может быть при</w:t>
      </w:r>
      <w:r>
        <w:rPr>
          <w:rFonts w:ascii="Liberation Serif" w:hAnsi="Liberation Serif" w:cs="Liberation Serif"/>
          <w:sz w:val="21"/>
          <w:szCs w:val="21"/>
        </w:rPr>
        <w:t xml:space="preserve">остановлена по основаниям, не связанным с неисполнением им обязательств по настоящему Договору, а также в связи с обстоятельствами непреодолимой силы и иными основаниями, исключающими ответственность Гарантирующего поставщика, суммарно не более чем на 72 ч</w:t>
      </w:r>
      <w:r>
        <w:rPr>
          <w:rFonts w:ascii="Liberation Serif" w:hAnsi="Liberation Serif" w:cs="Liberation Serif"/>
          <w:sz w:val="21"/>
          <w:szCs w:val="21"/>
        </w:rPr>
        <w:t xml:space="preserve">аса в год и не более 24 часов подряд, включая срок восстановления подачи электрической энергии. Качество электрической энергии и ее надежность по вышеуказанным показателям обеспечивается в пределах границ балансовой принадлежности Дома Сетевой организации.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Принимать в порядке и сроки, </w:t>
      </w:r>
      <w:r>
        <w:rPr>
          <w:rFonts w:ascii="Liberation Serif" w:hAnsi="Liberation Serif" w:cs="Liberation Serif"/>
          <w:sz w:val="21"/>
          <w:szCs w:val="21"/>
        </w:rPr>
        <w:t xml:space="preserve">установленые</w:t>
      </w:r>
      <w:r>
        <w:rPr>
          <w:rFonts w:ascii="Liberation Serif" w:hAnsi="Liberation Serif" w:cs="Liberation Serif"/>
          <w:sz w:val="21"/>
          <w:szCs w:val="21"/>
        </w:rPr>
        <w:t xml:space="preserve"> действующим законодательством, сообщения Потребителя о факте поставки электрической энергии ненадлежащего качества и (или) с перерывами, превышающими установленную продолжительность. 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Обеспечить централизованный прием платежей за электроэнергию от Потребителя через кредитные организации, платежные системы либо иными способами приема платежей.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В случае перехода Потребителя на обслуживание к вновь назначенном</w:t>
      </w:r>
      <w:r>
        <w:rPr>
          <w:rFonts w:ascii="Liberation Serif" w:hAnsi="Liberation Serif" w:cs="Liberation Serif"/>
          <w:sz w:val="21"/>
          <w:szCs w:val="21"/>
        </w:rPr>
        <w:t xml:space="preserve">у Гарантирующему поставщику или в энергосбытовую организацию, перечислить суммы платежей, излишне внесенных Потребителем по настоящему Договору на дату прекращения его действия, в размере, превышающем стоимость потребленной в расчетном периоде электрическо</w:t>
      </w:r>
      <w:r>
        <w:rPr>
          <w:rFonts w:ascii="Liberation Serif" w:hAnsi="Liberation Serif" w:cs="Liberation Serif"/>
          <w:sz w:val="21"/>
          <w:szCs w:val="21"/>
        </w:rPr>
        <w:t xml:space="preserve">й энергии на дату прекращения действия настоящего Договора по письменному заявлению Потребителя - вновь назначенному Гарантирующему поставщику (энергосбытовой организации), либо Потребителю в течение 15 дней с даты прекращения действия настоящего Договора.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Обеспечить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конфиденциальность всей информации о Потребителе, ставшей доступной в связи с исполнением Договора, и не допускать ее разглашения, за исключением случаев, прямо связанных с исполнением Договора, или предусмотренных Законодательством РФ.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jc w:val="center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Гарантирующий поставщик имеет право: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709"/>
        <w:jc w:val="both"/>
        <w:spacing w:after="0" w:line="240" w:lineRule="auto"/>
        <w:widowControl w:val="off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Прекратить исполнение обязательств по настоящему Договору путем приостановления (ограничения) подачи электрической энергии в порядке, установленном действующим законодательством РФ, в следующих случаях: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3"/>
          <w:numId w:val="1"/>
        </w:numPr>
        <w:ind w:left="0" w:firstLine="851"/>
        <w:jc w:val="both"/>
        <w:spacing w:after="0" w:line="240" w:lineRule="auto"/>
        <w:widowControl w:val="off"/>
        <w:tabs>
          <w:tab w:val="left" w:pos="1560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предварительно уведомив об этом Потребителя при: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а) наличии у Потребителя задолженности по оплате электрической энергии и (или) услуг, предоставленных по настоящему Договору в размере, превышающем сумму 2 (двух) месячных размеров платы, </w:t>
      </w:r>
      <w:r>
        <w:rPr>
          <w:rFonts w:ascii="Liberation Serif" w:hAnsi="Liberation Serif" w:cs="Liberation Serif"/>
          <w:bCs/>
          <w:color w:val="000000"/>
          <w:sz w:val="21"/>
          <w:szCs w:val="21"/>
        </w:rPr>
        <w:t xml:space="preserve">исчисленных исходя из норматива потребления для жилых помещений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 наличии дебиторской задолженности - для нежилых помещений;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б) проведении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планово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- профилактического ремонта и работ по обслуживанию централизованных сетей.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Не возобновлять подачу электроэнергии до полной оплаты задолженности и оплаты расходов по введению ограничения, приостановлению и возобновлению подачи электрической энергии.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3"/>
          <w:numId w:val="1"/>
        </w:numPr>
        <w:ind w:left="0" w:firstLine="851"/>
        <w:jc w:val="both"/>
        <w:spacing w:after="0" w:line="240" w:lineRule="auto"/>
        <w:widowControl w:val="off"/>
        <w:tabs>
          <w:tab w:val="left" w:pos="1560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без предварительного уведомления Потребителя при: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а) возникновении или угрозе возникновения аварийной ситуации;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б) возникновении стихийных бедствий и (или) чрезвычайных ситуаций;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в) выявлении факта несанкционированного подключения к централизованным электрическим сетям;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г) получении Гарантирующим поставщиком предписания органа, уполномоченного осуществлять государственный контроль и надзор за</w:t>
      </w:r>
      <w:r>
        <w:rPr>
          <w:rFonts w:ascii="Liberation Serif" w:hAnsi="Liberation Serif" w:cs="Liberation Serif"/>
          <w:color w:val="000000" w:themeColor="text1"/>
          <w:sz w:val="21"/>
          <w:szCs w:val="21"/>
        </w:rPr>
        <w:t xml:space="preserve">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д) использовании потребителем бытовых машин (приборов, оборудования) мощность подключения которых, либо совокупная, одновременно подключаемая мощность которых превышает максимальную мощность, определенную в п.1.3 настоящего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Осуществлять проверки условий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эксплуатации, сохранности и состояния приборов учета, а также проверки достоверности передаваемых Потребителем показаний приборов учета, самостоятельно и (или) с привлечением представителей Сетевой организации (иного владельца электросетевого хозяйства).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Проводить по согласованию и в присутствии Потребителя работы (переключения, отключения), связанные с оборудованием Потребителя (в том числе в измерительных цепях).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Привлекать на основании соответствующего договора, содержащего условие об обеспечении требован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ий законодательства Российской Федерации о защите персональных данных, организацию или индивидуального предпринимателя в целях исполнения настоящего Договора и обязательств, предусмотренных федеральным законодательством и иными нормативно-правовыми актами.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Направлять СМС уведомления Потребителю, а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также осуществлять информирование Потребителя иными доступными способами о наличии задолженности Потребителя по номерам телефонов, указанным в настоящем Договоре, личном кабинете Потребителя или зафиксированным в электронных базах данных, информационных и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биллинговых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системах учета граждан-потребителей Гарантирующего поставщика.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Доставлять Потребителю предупреждение (уведомление) об ограничении (приостановлении) электроснабжения путем вручения под расписку или направления по почте заказным письмом (с уведомл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ением о вручении), или путем включения в платежный документ для внесения платы за коммунальные услуги текста соответствующего предупреждения (уведомления), или иным способом уведомления, подтверждающим факт и дату его получения потребителем, в том числе пу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отребителя в Государственной информационной системе жилищно-коммунального хозяйства либо на официальной странице исполнителя в информационно-коммуникационной сети «Интернет», передачи потребителю голосовой информации по сети фиксированной телефонной связи.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Права и обязанности Потребителя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Потребитель обязуется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Не позднее 10 числа месяца, следующего за расчетным оплачивать Гарантирующему поставщику объем электрической энергии, потребленной за расчетный месяц, определяемый в соответствии с условиями настоящего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Не превышать максимальную мощность, указанную в п.1.3 настоящего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Обеспечивать сохранность и целостность прибора учета, используемого для обеспечения коммерческого учета электрической энергии, а также пломб и (или) знаков визуального контроля.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Сообщать Гарантирующему поставщику в течении суток с момента выявления факта неисправности или утраты расчетного прибора учета.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Содержать в исправном состоянии электропроводку и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бытовые электрические приборы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и аппараты; соблюдать технические инструкции по их эксплуатации; рационально и бережно использовать электрическую энергию. Использовать бытовые приборы и аппараты, отвечающие требованиям ГОСТов и имеющие сертификат соответствия требованиям безопасности.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Допускать представителей Гарантирующего поставщика и Сетевой организации к приборам учета в целях проверки условий их эксплуатации, сохранности и снятия контрольных показаний приборов с периодичностью, установленной действующим законодательством РФ.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Не нарушать пломбы на приборах учета и в местах их подключения, не производить самовольно демонтаж приборов учета и не осуществлять несанкционированное вмешательство в их работу.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Возместить Гарантирующему поставщику затраты, связанные с отключением и возобновлением подачи электрической энергии после отключения за невыполнение Потребителем договорных обязанностей.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случае, неисполнения или ненадлежащего исполнения обязанностей по об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еспечению сохранности и целостности установленных гарантирующим поставщиком приборов учета и (или) иного оборудования, которые используются для обеспечения коммерческого учета электрической энергии, возместить гарантирующему поставщику причиненные убытки.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Хранить платежные документы, обусловленные настоящим Договором, в течение 3 (трех) лет.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Своевременно предоставлять Гарантирующему поставщику информацию об изменении своего номера мобильного телефона, передаче его третьим лицам или отказе от его использования (расторжени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я договора с оператором сотовой связи) одним из следующих способов: через личный кабинет на информационном ресурсе гарантирующего поставщика (с оформлением соответствующего заявления), путем подачи письменного заявления на абонентском участке или по почте.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Сообщать Гарантирующему поставщику об изменении количества зарегистрированных граждан в жилом помещении не позднее 23 числа расчетного месяца способами, предусмотренными п. 3.2.6.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Использовать электрическую энергию исключительно для бытовых нужд.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 использования электричес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кой энергии для иных нужд (осуществление коммерческой (профессиональной) деятельности) Потребитель обязан обеспечить раздельный учет электрической энергии и заключить с Гарантирующим поставщиком договор, предусматривающий оплату по соответствующему тарифу.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 выявления факта использования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электрической энергии для иных нужд (осуществление коммерческой (профессиональной) деятельности) Потребитель обязан оплатить полученный объем электрической энергии, начиная с даты проведения предыдущей проверки, но не более чем за 6 месяцев, предшествующих</w:t>
      </w:r>
      <w:r>
        <w:rPr>
          <w:rFonts w:ascii="Liberation Serif" w:hAnsi="Liberation Serif" w:cs="Liberation Serif"/>
          <w:sz w:val="21"/>
          <w:szCs w:val="21"/>
        </w:rPr>
        <w:t xml:space="preserve"> месяцу, в котором выявлен факт использования электрической энергии для иных нужд (осуществление коммерческой (профессиональной) деятельности) по тарифу на электроэнергию для группы потребителей электроэнергии прочие.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К данному пункту применяются положения ст.431.2 ГК РФ.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Нести ответственность за надлежащее техническое состояние внутридомовых электрических сетей от границы балансовой принадлежности многоквартирного Дома (ввода в Дом) до ввода в квартиру.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Совместно с другими собственниками (на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нимателями) жилых помещений выбрать ответственное лицо для ежемесячного снятия показаний общедомовых(ого) приборов учета Дома и ежемесячной передачи их Гарантирующему поставщику в срок до 23 числа расчетного месяца, а также для незамедлительного сообщения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Гарантирующему поставщику о нарушении схемы учета на границе балансовой принадлежности Дома, а также о всех ее неисправностях и изменениях.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переизбрания ответственного лица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принять меры по уведомлению гарантирующего поставщика председателем общего собрания собственников помещений в многоквартирном доме о новом ответственном лице.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Liberation Serif" w:hAnsi="Liberation Serif" w:eastAsia="Times New Roman" w:cs="Liberation Serif"/>
          <w:color w:val="000000"/>
          <w:sz w:val="21"/>
          <w:szCs w:val="21"/>
          <w:lang w:eastAsia="ru-RU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случае, если ответственное лицо не будет переизбрано в течение одного месяца, обязанности ответственного лица: ежемесячное снятие показаний общедомового прибора учета и передача этих данных Гарантирующе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му поставщику не позднее 23 числа расчетного месяца, а также за незамедлительное сообщение Гарантирующему поставщику о нарушениях схемы учета на границе балансовой принадлежности Дома, а также всех ее неисправностях и изменениях, возлагаются на Гражданина.</w:t>
      </w:r>
      <w:r>
        <w:rPr>
          <w:rFonts w:ascii="Liberation Serif" w:hAnsi="Liberation Serif" w:eastAsia="Times New Roman" w:cs="Liberation Serif"/>
          <w:color w:val="000000"/>
          <w:sz w:val="21"/>
          <w:szCs w:val="21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Потребитель вправе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Потреблять электрическую энергию только для бытового потребления в пределах максимальной мощности, при подключении электроустановок к сетям Сетевой организации в установленном порядке.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Требовать поддержания показателей качества электрической энергии, установленных п.1.6, п. 2.1.1. настоящего Договора до границы балансовой принадлежности Дома.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Получать от Гарантирующего поставщика сведения о правильности исчисления предъявленного Потребителю размера платы, заявлять Гарантирующему поставщику об ошибках, обнаруженных в платежных документах.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Применять при расчетах за потребленную электрическую энергию зонные тарифы по времени суток при надлежащей установке многотарифного прибора учета.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 внесения сумм предварительных платежей до даты прекращения настоящего Договора в связи с переходом на обслуживание к вновь назначенному гарант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ирующему поставщику, Потребитель вправе обратиться к Гарантирующему поставщику (энергосбытовой компании) с письменным заявлением о перечислении таких сумм вновь назначенному Гарантирующему поставщику (энергосбытовой компании), либо возврате их Потребителю.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2"/>
          <w:numId w:val="1"/>
        </w:numPr>
        <w:ind w:left="0" w:firstLine="567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Ежемесячно снимать показания приборов учета и передавать их Гарантирующему поставщику с 20 по 23 число расчетного месяца.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Способы передачи показаний приборов учета: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- на сайте ООО «ЭСКБ» www.bashesk.ru через Личный кабинет клиента;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- по электронному адресу клиентского офиса ООО «ЭСКБ» с указанием № договора, адреса, даты снятия показаний, показания;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- по СМС на номер 8-927-337-67-60 с текстом: «№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договора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# Показание»;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- в отделениях банков и ФГУП «Почта России» при оплате электроэнергии;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- в отделениях ООО «ЭСКБ» и в клиентских офисах при очном обслуживании, либо через информационный киоск в клиентском офисе;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- по городским номерам 8 (347) 222-22-00, 8 (347) 222-22-55 через оператора или автоответчик (интерактивный автоматизированный голосовой помощник (IVR), согласно тарифам Вашего оператора связи.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После прис</w:t>
      </w:r>
      <w:r>
        <w:rPr>
          <w:rFonts w:ascii="Liberation Serif" w:hAnsi="Liberation Serif" w:cs="Liberation Serif"/>
          <w:sz w:val="21"/>
          <w:szCs w:val="21"/>
        </w:rPr>
        <w:t xml:space="preserve">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</w:r>
      <w:r>
        <w:rPr>
          <w:rFonts w:ascii="Liberation Serif" w:hAnsi="Liberation Serif" w:cs="Liberation Serif"/>
          <w:b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Порядок расчета объема 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потребления</w:t>
      </w:r>
      <w:r>
        <w:rPr>
          <w:rFonts w:ascii="Liberation Serif" w:hAnsi="Liberation Serif" w:cs="Liberation Serif"/>
          <w:b/>
          <w:sz w:val="21"/>
          <w:szCs w:val="21"/>
        </w:rPr>
        <w:t xml:space="preserve"> электрической энергии</w:t>
      </w:r>
      <w:r>
        <w:rPr>
          <w:rFonts w:ascii="Liberation Serif" w:hAnsi="Liberation Serif" w:cs="Liberation Serif"/>
          <w:b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Учет объема потребленной электрической энергии осуществляется с использованием приборов учета (ПУ) в жилых помещениях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tbl>
      <w:tblPr>
        <w:tblW w:w="103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0"/>
        <w:gridCol w:w="690"/>
        <w:gridCol w:w="489"/>
        <w:gridCol w:w="473"/>
        <w:gridCol w:w="747"/>
        <w:gridCol w:w="427"/>
        <w:gridCol w:w="1251"/>
        <w:gridCol w:w="610"/>
        <w:gridCol w:w="610"/>
        <w:gridCol w:w="885"/>
        <w:gridCol w:w="885"/>
        <w:gridCol w:w="550"/>
        <w:gridCol w:w="550"/>
        <w:gridCol w:w="595"/>
        <w:gridCol w:w="683"/>
      </w:tblGrid>
      <w:tr>
        <w:tblPrEx/>
        <w:trPr>
          <w:trHeight w:val="318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Заводской № ПУ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0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Тип ПУ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Сила тока (А)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3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Напряжение (В)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7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Показание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7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Кл.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точ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-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ности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51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Дата выпуска (год) и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госповерки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 (квартал/год)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№ пломбы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Место установки ПУ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Тип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помещ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. (жилое/ нежилое)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Вид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деят-ти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 для нежил.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помещ-ий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69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Потери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83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№ точки учета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45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3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7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51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тр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-ре, кВт*ч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в 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тр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-ре, %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в ВЛ, КЛ, %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83" w:type="dxa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540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70" w:type="dxa"/>
            <w:vAlign w:val="center"/>
            <w:textDirection w:val="lrTb"/>
            <w:noWrap w:val="false"/>
          </w:tcPr>
          <w:p>
            <w:pPr>
              <w:ind w:left="15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90" w:type="dxa"/>
            <w:vAlign w:val="center"/>
            <w:textDirection w:val="lrTb"/>
            <w:noWrap w:val="false"/>
          </w:tcPr>
          <w:p>
            <w:pPr>
              <w:ind w:left="15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89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73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47" w:type="dxa"/>
            <w:vAlign w:val="center"/>
            <w:textDirection w:val="lrTb"/>
            <w:noWrap w:val="false"/>
          </w:tcPr>
          <w:p>
            <w:pPr>
              <w:ind w:left="15"/>
              <w:jc w:val="right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7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251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5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9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ind w:left="15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ind w:firstLine="709"/>
        <w:spacing w:after="0" w:line="240" w:lineRule="auto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* - (Д) - дневной тариф, (Н) - ночной тариф</w:t>
      </w:r>
      <w:r>
        <w:rPr>
          <w:rFonts w:ascii="Liberation Serif" w:hAnsi="Liberation Serif" w:cs="Liberation Serif"/>
          <w:sz w:val="21"/>
          <w:szCs w:val="21"/>
        </w:rPr>
        <w:tab/>
      </w:r>
      <w:r>
        <w:rPr>
          <w:rFonts w:ascii="Liberation Serif" w:hAnsi="Liberation Serif" w:cs="Liberation Serif"/>
          <w:sz w:val="21"/>
          <w:szCs w:val="21"/>
        </w:rPr>
      </w:r>
    </w:p>
    <w:p>
      <w:pPr>
        <w:ind w:firstLine="709"/>
        <w:spacing w:after="0" w:line="240" w:lineRule="auto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И трансформаторов: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1738"/>
        <w:gridCol w:w="1467"/>
        <w:gridCol w:w="1032"/>
        <w:gridCol w:w="1032"/>
        <w:gridCol w:w="1575"/>
        <w:gridCol w:w="1956"/>
      </w:tblGrid>
      <w:tr>
        <w:tblPrEx/>
        <w:trPr>
          <w:trHeight w:val="225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48" w:type="dxa"/>
            <w:vAlign w:val="center"/>
            <w:vMerge w:val="restart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Заводской № ПУ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8800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Трансформатор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75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48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Заводской №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Тип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2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I (ном), А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2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U (ном), В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Класс точности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  <w:t xml:space="preserve">Коэффициент трансформации</w:t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375" w:hRule="exact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48" w:type="dxa"/>
            <w:vAlign w:val="center"/>
            <w:textDirection w:val="lrTb"/>
            <w:noWrap w:val="false"/>
          </w:tcPr>
          <w:p>
            <w:pPr>
              <w:ind w:left="15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738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67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2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32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75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956" w:type="dxa"/>
            <w:vAlign w:val="center"/>
            <w:textDirection w:val="lrTb"/>
            <w:noWrap w:val="false"/>
          </w:tcPr>
          <w:p>
            <w:pPr>
              <w:ind w:left="15"/>
              <w:jc w:val="center"/>
              <w:spacing w:before="30" w:after="0" w:line="167" w:lineRule="exact"/>
              <w:widowControl w:val="off"/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  <w:r>
              <w:rPr>
                <w:rFonts w:ascii="Liberation Serif" w:hAnsi="Liberation Serif" w:eastAsia="Times New Roman" w:cs="Liberation Serif"/>
                <w:color w:val="000000"/>
                <w:sz w:val="16"/>
                <w:szCs w:val="16"/>
                <w:lang w:eastAsia="ru-RU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Приборы учета должны быть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поверены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в установленном порядке и внесены в госу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дарственный реестр средств измерений. Если класс точности прибора учета ниже чем 2,0, то в случае выбытия его из эксплуатации, либо при иных условиях по соглашению сторон он должен быть заменен на прибор учета класса 2,0 или более высокого класса точности.</w:t>
      </w:r>
      <w:r>
        <w:rPr>
          <w:rFonts w:ascii="Liberation Serif" w:hAnsi="Liberation Serif" w:cs="Liberation Serif"/>
          <w:sz w:val="21"/>
          <w:szCs w:val="21"/>
        </w:rPr>
        <w:t xml:space="preserve">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Если класс точности приборов учета на общедомовое потребление ниже чем 1,0, то в случае выбытия их из эксплуатации, либо при иных условиях по соглашению сторон, они должны быть заменены на приборы учета класса 1,0 или более высокого класса точности.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ind w:left="0"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Общедомовые приборы учета должны быть установлены на границе балансовой принадлежности Дома. При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отсутствии технической возможности установки общедомового прибора учета на границе балансовой при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надлежности, прибор учета подлежит установке в месте, максимально приближенном к границе балансовой принадлежности, в котором имеется техническая возможность его установки. В случае установки общедомового прибора учета не в точке присоединения энергоприним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ающего устройства Потребителя к электрической сети, показания прибора учета корректируются с учетом потерь в электросети на участке от точки присоединения до точки установки прибора учета. Величина потерь фиксируется в Акте организации коммерческого учета.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ind w:left="0"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Объем потребления ОДН, подлежащий оплате Потребителем, определяется в соответствии с действующим Законодательством РФ.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В случае установки прибора учета не в точке присоединения энергоприним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ающего устройства Потребителя к электрической сети, показания прибора учета корректируются с учетом потерь в электросети на участке от точки присоединения до точки установки прибора учета. Величина потерь фиксируется в Акте организации коммерческого учета.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Фактический объем потребленной электрической энергии по Договору за расчетный период определяется в соответствии с показаниями приборов учета, переданными Потребителем в сроки и способами, указанными в п. 3.2.6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После присо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 отсутствии у Потребителя приборов учета, для расчета объема потребления электрической энергии в жилых помещениях,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применяются нормативы потребления, утвержденные в установленном порядке, а для нежилых помещений объем потребленной электрической энергии определяется расчетным способом, установленным в соответствии с требованиями законодательства РФ об электроснабжении.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 непредоставлении (несвоевременном предоставлении) Потребителем показаний прибора учета, для определения объема потребления электрической энергии Гарантирующий поставщик использует расчетные способы, определенные действующим законодательством РФ.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 неисправности (отсутствии) приборов учета общедомового потребления, объем потребления электрической энергии на ОДН рассчитывается в соответствии с требованиями законодательства РФ.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 сообщении Потребителем Гарантирующему поставщику о неисправности прибора учета, расчет за потребленную электрическую энергию в период осуществления ремонта, замены, поверки прибора учета, не превышающий трех расчетных периодов подряд в жи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лых помещениях и не превышающий двух расчетных периодов подряд в нежилых помещениях с даты возникновения указанных событий, производится по среднемесячному потреблению электрической энергии, определенному в соответствии с действующим законодательством РФ.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Замена (установка при отсутствии) приборов учета должна производиться в установленном порядке и не требует переоформления настоящего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При обнаружении представителем Гарантирующего поставщика (Сетевой ор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ганизации) у Потребителя факта несанкционированного вмешательства в работу прибора учета, несанкционированного подключения, составляется соответствующий акт, на основании которого дополнительно к объему потребленной электрической энергии, рассчитанному по 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п.п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. 4.1.-4.7. настоящего Договора, производится доначисление размера платы исходя из объемов электрической энергии, рассчитанных на основании акта и действующего законодательства. 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При недопуске 2 и более раз Потребителем в занимаемое им жилое и (или) нежилое помещение Гарантирующего поставщика для проверки состояния установленных и введенных в эксплуа</w:t>
      </w:r>
      <w:r>
        <w:rPr>
          <w:rFonts w:ascii="Liberation Serif" w:hAnsi="Liberation Serif" w:cs="Liberation Serif"/>
          <w:sz w:val="21"/>
          <w:szCs w:val="21"/>
        </w:rPr>
        <w:t xml:space="preserve">тацию индивидуальных, общих (квартирных) приборов учета, проверки достоверности представленных сведений о показаниях таких приборов учета и при условии составления Гарантирующим поставщиком акта об отказе в допуске к прибору учета, показания такого прибора</w:t>
      </w:r>
      <w:r>
        <w:rPr>
          <w:rFonts w:ascii="Liberation Serif" w:hAnsi="Liberation Serif" w:cs="Liberation Serif"/>
          <w:sz w:val="21"/>
          <w:szCs w:val="21"/>
        </w:rPr>
        <w:t xml:space="preserve"> учета, предоставленные Потребителем, не учитываются при расчете платы до даты подписания акта проведения указанной проверки. Размер объема потребленной электрической энергии и платы за нее определяются с учетом требований действующего законодательства РФ.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Расчет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 стоимости и порядок оплаты электрической энергии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Расчетным периодом в соответствии с настоящим Договором является один календарный месяц.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Расчеты за электрическую энергию, поставленную Гарантирующим поставщиком Потребителю, и оказанные ему в соответствии с настоящим Договором услуги, производятся Потребителем ежемесячно, не позднее 10-го числа месяца, следующего за расчетным периодом.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Стоимость электрической энергии, потребленной Потребителем, определяется как произведение объема потребленной электрической энергии, определенного в соответствии с разделом 4 настоящего Договора на тариф, установленный в соо</w:t>
      </w:r>
      <w:r>
        <w:rPr>
          <w:rFonts w:ascii="Liberation Serif" w:hAnsi="Liberation Serif" w:cs="Liberation Serif"/>
          <w:sz w:val="21"/>
          <w:szCs w:val="21"/>
        </w:rPr>
        <w:t xml:space="preserve">тветствии с действующим законодательством, органом, осуществляющим государственное регулирование тарифов. Тариф может быть единым, либо с выделением стоимости услуг по передаче электрической энергии и иных услуг в соответствии с п.1.2. настоящего Договора.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В случае принятия в Республике Башкортостан решения об установлении социальной нормы потреблени</w:t>
      </w:r>
      <w:r>
        <w:rPr>
          <w:rFonts w:ascii="Liberation Serif" w:hAnsi="Liberation Serif" w:cs="Liberation Serif"/>
          <w:sz w:val="21"/>
          <w:szCs w:val="21"/>
        </w:rPr>
        <w:t xml:space="preserve">я электрической энергии стоимость потребленной электрической энергии в расчетном периоде рассчитывается по тарифам,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ind w:left="0" w:firstLine="792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В случае приобретения (утраты) Потребителем права на получение мер социальной поддержки внесение изменений в настоящий Договор не требуется.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Расчет стоимости платы, подлежащей доначислению в связи с выявленным фактом несанкционированного вмешательства в работу прибора учета, несанкционированного подключения, производится по тарифу, действующему на момент его обнаружения.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Размер платы за электрическую энергию определяется с применением повышающих коэффициентов в случаях, определенных действующим законодательством РФ.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Потребитель вправе осуществлять предварительную оплату коммунальных услуг в счет будущих расчетных периодов.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Ответственность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 сторон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В случае неисполнения или ненадлежащего исполнения обязательств по настоящему Договору энергоснабжения Сторона, нарушившая обязательство, обязана возместить другой Стороне причиненный этим реальный ущерб.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При несвоевременной оплате электр</w:t>
      </w:r>
      <w:r>
        <w:rPr>
          <w:rFonts w:ascii="Liberation Serif" w:hAnsi="Liberation Serif" w:cs="Liberation Serif"/>
          <w:sz w:val="21"/>
          <w:szCs w:val="21"/>
        </w:rPr>
        <w:t xml:space="preserve">ической энергии Потребитель уплачивает в пользу Гарантирующего поставщика пени в размере одной трехсотой ставки рефинансирования Центрального банка РФ, действующей на день фактической оплаты, от невыплаченных в срок сумм за каждый день просрочки, начиная с</w:t>
      </w:r>
      <w:r>
        <w:rPr>
          <w:rFonts w:ascii="Liberation Serif" w:hAnsi="Liberation Serif" w:cs="Liberation Serif"/>
          <w:sz w:val="21"/>
          <w:szCs w:val="21"/>
        </w:rPr>
        <w:t xml:space="preserve">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</w:t>
      </w:r>
      <w:r>
        <w:rPr>
          <w:rFonts w:ascii="Liberation Serif" w:hAnsi="Liberation Serif" w:cs="Liberation Serif"/>
          <w:sz w:val="21"/>
          <w:szCs w:val="21"/>
        </w:rPr>
        <w:t xml:space="preserve">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>
        <w:rPr>
          <w:rFonts w:ascii="Liberation Serif" w:hAnsi="Liberation Serif" w:cs="Liberation Serif"/>
          <w:sz w:val="21"/>
          <w:szCs w:val="21"/>
        </w:rPr>
        <w:t xml:space="preserve">стотридцатой</w:t>
      </w:r>
      <w:r>
        <w:rPr>
          <w:rFonts w:ascii="Liberation Serif" w:hAnsi="Liberation Serif" w:cs="Liberation Serif"/>
          <w:sz w:val="21"/>
          <w:szCs w:val="21"/>
        </w:rPr>
        <w:t xml:space="preserve"> ставки рефинансирования Центрального банка РФ, действующей на день фактической оплаты, от не выплаченной в срок суммы за каждый день просрочки.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Все возникшие по настоящему Договору споры Стороны, по возможности, решают путем переговоров, а в случае недостижения согласия – в судах общей юрисдикции по месту исполнения Договора.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Гарантирующий поставщик не несет ответственности за направление СМС уведомлений на номера мобильных те</w:t>
      </w:r>
      <w:r>
        <w:rPr>
          <w:rFonts w:ascii="Liberation Serif" w:hAnsi="Liberation Serif" w:cs="Liberation Serif"/>
          <w:sz w:val="21"/>
          <w:szCs w:val="21"/>
        </w:rPr>
        <w:t xml:space="preserve">лефонов, в случае если Потребитель не уведомил (несвоевременно уведомил) Гарантирующего поставщика об изменении своего номера мобильного телефона, передаче его третьим лицам или отказе от его использования (расторжения договора с оператором сотовой связи).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Потребитель, дающий согласие на направление ему СМС уведомлений, согласен с тем, что Гарантирующий поставщи</w:t>
      </w:r>
      <w:r>
        <w:rPr>
          <w:rFonts w:ascii="Liberation Serif" w:hAnsi="Liberation Serif" w:cs="Liberation Serif"/>
          <w:sz w:val="21"/>
          <w:szCs w:val="21"/>
        </w:rPr>
        <w:t xml:space="preserve">к не несет ответственность за недоставку СМС – сообщения на указанный номер ввиду отсутствия на лицевом счете телефонного номера Потребителя денежных средств или по техническим причинам в обслуживании, вызванных по вине оператора сотовой связи Потребителя.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Потребитель, дающий согласие на направление ему СМС уведомлений, согласен с тем, что с момента поступления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СМС-сообщения на указанный им номер мобильного телефона от Гарантирующего поставщика он считается извещенным должным образом.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Гарантирующий поставщик несет ответственность за качество поставляемой электрической энергии в пределах границ централизованных сетей сетевой организации. Гарантирующий поставщик не отвечает за поставку электрической энергии по электрическим се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тям лиц, не оказывающих услуги по передаче электрической энергии. Размер и основания ответственности Гарантирующего поставщика за нарушение показателей качества поставленной электрической энергии определяются в соответствии с действующим законодательством.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sz w:val="21"/>
          <w:szCs w:val="21"/>
        </w:rPr>
        <w:t xml:space="preserve">Прочие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 условия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Договор вступает в силу с </w:t>
      </w:r>
      <w:r>
        <w:rPr>
          <w:rFonts w:ascii="Liberation Serif" w:hAnsi="Liberation Serif" w:cs="Liberation Serif"/>
          <w:sz w:val="21"/>
          <w:szCs w:val="21"/>
          <w:u w:val="single"/>
        </w:rPr>
        <w:t xml:space="preserve">            </w:t>
      </w:r>
      <w:r>
        <w:rPr>
          <w:rFonts w:ascii="Liberation Serif" w:hAnsi="Liberation Serif" w:cs="Liberation Serif"/>
          <w:sz w:val="21"/>
          <w:szCs w:val="21"/>
        </w:rPr>
        <w:t xml:space="preserve">и считается заключенным на неопределенный срок. 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Настоящий Договор может быть изменен или досрочно расторгнут по основаниям и в порядке, которые предусмотрены законодательством Российской Федерации</w:t>
      </w:r>
      <w:r>
        <w:rPr>
          <w:rFonts w:ascii="Liberation Serif" w:hAnsi="Liberation Serif" w:cs="Liberation Serif"/>
          <w:sz w:val="21"/>
          <w:szCs w:val="21"/>
        </w:rPr>
        <w:t xml:space="preserve">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Потребитель вправе расторгнуть настоящий Договор в одностороннем порядке при условии уведомления об этом Гарантирующего поставщика за 10 дней и полной оплаты потребленной электрической энергии. 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.Изменение</w:t>
      </w:r>
      <w:r>
        <w:rPr>
          <w:rFonts w:ascii="Liberation Serif" w:hAnsi="Liberation Serif" w:cs="Liberation Serif"/>
          <w:sz w:val="21"/>
          <w:szCs w:val="21"/>
        </w:rPr>
        <w:t xml:space="preserve"> или прекращение действия настоящего Договора не освобождает Стороны от взаимных расчетов за поставленную (потребленную) электрическую энергию.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Настоящий Договор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и (или) нормативных правовых актов, устанавливающих иные правила и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сполнения публичных договоров или содержащие иные 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актами не установлен иной срок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, без внесения изменений в настоящий Договор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/>
      <w:bookmarkStart w:id="0" w:name="_Hlk147149807"/>
      <w:r>
        <w:rPr>
          <w:rFonts w:ascii="Liberation Serif" w:hAnsi="Liberation Serif" w:cs="Liberation Serif"/>
          <w:color w:val="000000"/>
          <w:sz w:val="21"/>
          <w:szCs w:val="21"/>
        </w:rPr>
        <w:t xml:space="preserve">Информация об изменении условий настоящего Договора доводится до сведения Потребителя способами, предусмотренными пунктом 1.4. настоящего Договора.</w:t>
      </w:r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color w:val="000000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  <w:bookmarkEnd w:id="0"/>
      <w:r/>
      <w:r>
        <w:rPr>
          <w:rFonts w:ascii="Liberation Serif" w:hAnsi="Liberation Serif" w:cs="Liberation Serif"/>
          <w:color w:val="000000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При исполнении настоящего Договора, а также решении вопросов, не предусмотренных настоящим Договором, стороны руководствуются действующим законодательством РФ.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  <w:t xml:space="preserve">Настоящий Договор составлен в двух подлинных экземплярах, имеющих одинаковую юридическую силу, один экземпляр находится у Гарантирующего поставщика, а другой у Потребителя.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pStyle w:val="877"/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276" w:leader="none"/>
        </w:tabs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color w:val="000000"/>
          <w:sz w:val="21"/>
          <w:szCs w:val="21"/>
        </w:rPr>
        <w:t xml:space="preserve">Гарантирующий поставщик имеет право включить в платежный документ строку об оплате дополнительных услуг (в том числе добровольное страхование жилья) при наличии волеизъявления потребителя, выраженного путем совершения им действий, выражающих</w:t>
      </w:r>
      <w:r>
        <w:rPr>
          <w:rFonts w:ascii="Liberation Serif" w:hAnsi="Liberation Serif" w:cs="Liberation Serif"/>
          <w:color w:val="000000"/>
          <w:sz w:val="21"/>
          <w:szCs w:val="21"/>
        </w:rPr>
        <w:t xml:space="preserve"> его согласие на оплату указанных услуг (в том числе, но не ограничиваясь подписанием оферты договора страхования, договора оказания услуг, проставление необходимого признака в соответствующей строке платежного документа или в соответствующем разделе ЛКК).</w:t>
      </w:r>
      <w:r>
        <w:rPr>
          <w:rFonts w:ascii="Liberation Serif" w:hAnsi="Liberation Serif" w:cs="Liberation Serif"/>
          <w:sz w:val="21"/>
          <w:szCs w:val="21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b/>
          <w:color w:val="000000"/>
          <w:sz w:val="21"/>
          <w:szCs w:val="21"/>
        </w:rPr>
      </w:pPr>
      <w:r/>
      <w:bookmarkStart w:id="1" w:name="_GoBack"/>
      <w:r/>
      <w:bookmarkEnd w:id="1"/>
      <w:r/>
      <w:r>
        <w:rPr>
          <w:rFonts w:ascii="Liberation Serif" w:hAnsi="Liberation Serif" w:cs="Liberation Serif"/>
          <w:b/>
          <w:color w:val="000000"/>
          <w:sz w:val="21"/>
          <w:szCs w:val="21"/>
        </w:rPr>
      </w:r>
    </w:p>
    <w:p>
      <w:pPr>
        <w:pStyle w:val="877"/>
        <w:numPr>
          <w:ilvl w:val="0"/>
          <w:numId w:val="1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Liberation Serif" w:hAnsi="Liberation Serif" w:cs="Liberation Serif"/>
          <w:b/>
          <w:bCs/>
          <w:color w:val="000000"/>
          <w:sz w:val="21"/>
          <w:szCs w:val="21"/>
        </w:rPr>
      </w:pP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  <w:t xml:space="preserve">Юридические адреса, реквизиты и подписи сторон</w:t>
      </w:r>
      <w:r>
        <w:rPr>
          <w:rFonts w:ascii="Liberation Serif" w:hAnsi="Liberation Serif" w:cs="Liberation Serif"/>
          <w:b/>
          <w:bCs/>
          <w:color w:val="000000"/>
          <w:sz w:val="21"/>
          <w:szCs w:val="21"/>
        </w:rPr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>
        <w:tblPrEx/>
        <w:trPr>
          <w:trHeight w:val="294"/>
        </w:trPr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  <w:t xml:space="preserve">Гарантирующий поставщик</w:t>
            </w: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  <w:t xml:space="preserve">Потребитель</w:t>
            </w: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5" w:type="dxa"/>
            <w:textDirection w:val="lrTb"/>
            <w:noWrap w:val="false"/>
          </w:tcPr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>
              <w:tblPrEx/>
              <w:trPr/>
              <w:tc>
                <w:tcPr>
                  <w:shd w:val="clear" w:color="auto" w:fill="auto"/>
                  <w:tcW w:w="5245" w:type="dxa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b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b/>
                      <w:sz w:val="21"/>
                      <w:szCs w:val="21"/>
                    </w:rPr>
                    <w:t xml:space="preserve">ООО «ЭСКБ»</w:t>
                  </w:r>
                  <w:r>
                    <w:rPr>
                      <w:rFonts w:ascii="Liberation Serif" w:hAnsi="Liberation Serif" w:cs="Liberation Serif"/>
                      <w:b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Юридический адрес 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ИНН 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КПП 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РС ______________________________________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в________________________________________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КС ______________________________________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БИК 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Контактная информация ООО «ЭСКБ»: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тел.: 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  <w:t xml:space="preserve">сайт: _____________________________________</w:t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  <w:p>
                  <w:pPr>
                    <w:spacing w:after="0" w:line="240" w:lineRule="auto"/>
                    <w:rPr>
                      <w:rFonts w:ascii="Liberation Serif" w:hAnsi="Liberation Serif" w:cs="Liberation Serif"/>
                      <w:sz w:val="21"/>
                      <w:szCs w:val="21"/>
                    </w:rPr>
                  </w:pP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  <w:r>
                    <w:rPr>
                      <w:rFonts w:ascii="Liberation Serif" w:hAnsi="Liberation Serif" w:cs="Liberation Serif"/>
                      <w:sz w:val="21"/>
                      <w:szCs w:val="21"/>
                    </w:rPr>
                  </w:r>
                </w:p>
              </w:tc>
            </w:tr>
          </w:tbl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  <w:u w:val="single"/>
              </w:rPr>
              <w:pBdr>
                <w:bottom w:val="single" w:color="000000" w:sz="12" w:space="1"/>
              </w:pBdr>
            </w:pPr>
            <w:r>
              <w:rPr>
                <w:rFonts w:ascii="Liberation Serif" w:hAnsi="Liberation Serif" w:cs="Liberation Serif"/>
                <w:sz w:val="21"/>
                <w:szCs w:val="21"/>
                <w:u w:val="single"/>
              </w:rPr>
            </w:r>
            <w:r>
              <w:rPr>
                <w:rFonts w:ascii="Liberation Serif" w:hAnsi="Liberation Serif" w:cs="Liberation Serif"/>
                <w:sz w:val="21"/>
                <w:szCs w:val="21"/>
                <w:u w:val="single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(Ф.И.О. полностью)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Дата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рождения:_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_________,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Место рождения: __________________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Паспорт № ______________ серия ______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выдан _____________________________________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Адрес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прописки:_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_____________________________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Адрес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проживания:_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___________________________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Моб.тел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.:_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____________________________________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  <w:u w:val="single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Адрес электронной почты: ___________________</w:t>
            </w:r>
            <w:r>
              <w:rPr>
                <w:rFonts w:ascii="Liberation Serif" w:hAnsi="Liberation Serif" w:cs="Liberation Serif"/>
                <w:sz w:val="21"/>
                <w:szCs w:val="21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____________________/___________________________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                    ФИО доверенного лица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_________________________/__________________ 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  <w:t xml:space="preserve">                        ФИО доверенного лица</w:t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>
          <w:trHeight w:val="294"/>
        </w:trPr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b/>
                <w:color w:val="000000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  <w:u w:val="single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  <w:u w:val="single"/>
              </w:rPr>
            </w:r>
            <w:r>
              <w:rPr>
                <w:rFonts w:ascii="Liberation Serif" w:hAnsi="Liberation Serif" w:cs="Liberation Serif"/>
                <w:sz w:val="21"/>
                <w:szCs w:val="21"/>
                <w:u w:val="single"/>
              </w:rPr>
            </w:r>
          </w:p>
        </w:tc>
      </w:tr>
      <w:tr>
        <w:tblPrEx/>
        <w:trPr/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  <w:tr>
        <w:tblPrEx/>
        <w:trPr/>
        <w:tc>
          <w:tcPr>
            <w:shd w:val="clear" w:color="auto" w:fill="auto"/>
            <w:tcW w:w="524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1"/>
                <w:szCs w:val="21"/>
              </w:rPr>
            </w:pPr>
            <w:r>
              <w:rPr>
                <w:rFonts w:ascii="Liberation Serif" w:hAnsi="Liberation Serif" w:cs="Liberation Serif"/>
                <w:sz w:val="21"/>
                <w:szCs w:val="21"/>
              </w:rPr>
            </w:r>
            <w:r>
              <w:rPr>
                <w:rFonts w:ascii="Liberation Serif" w:hAnsi="Liberation Serif" w:cs="Liberation Serif"/>
                <w:sz w:val="21"/>
                <w:szCs w:val="21"/>
              </w:rPr>
            </w:r>
          </w:p>
        </w:tc>
      </w:tr>
    </w:tbl>
    <w:p>
      <w:pPr>
        <w:ind w:firstLine="709"/>
        <w:jc w:val="both"/>
        <w:spacing w:after="0" w:line="240" w:lineRule="auto"/>
        <w:widowControl w:val="off"/>
        <w:rPr>
          <w:rFonts w:ascii="Liberation Serif" w:hAnsi="Liberation Serif" w:cs="Liberation Serif"/>
          <w:sz w:val="21"/>
          <w:szCs w:val="21"/>
        </w:rPr>
      </w:pPr>
      <w:r>
        <w:rPr>
          <w:rFonts w:ascii="Liberation Serif" w:hAnsi="Liberation Serif" w:cs="Liberation Serif"/>
          <w:sz w:val="21"/>
          <w:szCs w:val="21"/>
        </w:rPr>
      </w:r>
      <w:r>
        <w:rPr>
          <w:rFonts w:ascii="Liberation Serif" w:hAnsi="Liberation Serif" w:cs="Liberation Serif"/>
          <w:sz w:val="21"/>
          <w:szCs w:val="21"/>
        </w:rPr>
      </w:r>
    </w:p>
    <w:sectPr>
      <w:footerReference w:type="default" r:id="rId9"/>
      <w:footnotePr/>
      <w:endnotePr/>
      <w:type w:val="nextPage"/>
      <w:pgSz w:w="11906" w:h="16838" w:orient="portrait"/>
      <w:pgMar w:top="567" w:right="567" w:bottom="851" w:left="851" w:header="709" w:footer="27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firstLine="709"/>
      <w:jc w:val="both"/>
      <w:spacing w:after="0" w:line="240" w:lineRule="auto"/>
      <w:widowControl w:val="off"/>
    </w:pPr>
    <w:r>
      <w:rPr>
        <w:rFonts w:ascii="Times New Roman" w:hAnsi="Times New Roman" w:cs="Times New Roman"/>
        <w:sz w:val="24"/>
        <w:szCs w:val="24"/>
      </w:rPr>
      <w:t xml:space="preserve">Гарантирующий поставщик: ____________/ </w:t>
    </w:r>
    <w:r>
      <w:rPr>
        <w:rFonts w:ascii="Times New Roman" w:hAnsi="Times New Roman" w:cs="Times New Roman"/>
        <w:sz w:val="24"/>
        <w:szCs w:val="24"/>
      </w:rPr>
      <w:tab/>
      <w:t xml:space="preserve">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     Потребитель: ____________/</w:t>
    </w:r>
    <w:r/>
  </w:p>
  <w:p>
    <w:pPr>
      <w:pStyle w:val="8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suff w:val="tab"/>
      <w:lvlText w:val="%1.%2."/>
      <w:lvlJc w:val="left"/>
      <w:pPr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6"/>
    <w:link w:val="68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6"/>
    <w:link w:val="709"/>
    <w:uiPriority w:val="10"/>
    <w:rPr>
      <w:sz w:val="48"/>
      <w:szCs w:val="48"/>
    </w:rPr>
  </w:style>
  <w:style w:type="character" w:styleId="37">
    <w:name w:val="Subtitle Char"/>
    <w:basedOn w:val="696"/>
    <w:link w:val="711"/>
    <w:uiPriority w:val="11"/>
    <w:rPr>
      <w:sz w:val="24"/>
      <w:szCs w:val="24"/>
    </w:rPr>
  </w:style>
  <w:style w:type="character" w:styleId="39">
    <w:name w:val="Quote Char"/>
    <w:link w:val="713"/>
    <w:uiPriority w:val="29"/>
    <w:rPr>
      <w:i/>
    </w:rPr>
  </w:style>
  <w:style w:type="character" w:styleId="41">
    <w:name w:val="Intense Quote Char"/>
    <w:link w:val="715"/>
    <w:uiPriority w:val="30"/>
    <w:rPr>
      <w:i/>
    </w:rPr>
  </w:style>
  <w:style w:type="character" w:styleId="176">
    <w:name w:val="Footnote Text Char"/>
    <w:link w:val="846"/>
    <w:uiPriority w:val="99"/>
    <w:rPr>
      <w:sz w:val="18"/>
    </w:rPr>
  </w:style>
  <w:style w:type="character" w:styleId="179">
    <w:name w:val="Endnote Text Char"/>
    <w:link w:val="849"/>
    <w:uiPriority w:val="99"/>
    <w:rPr>
      <w:sz w:val="20"/>
    </w:rPr>
  </w:style>
  <w:style w:type="paragraph" w:styleId="686" w:default="1">
    <w:name w:val="Normal"/>
    <w:qFormat/>
  </w:style>
  <w:style w:type="paragraph" w:styleId="687">
    <w:name w:val="Heading 1"/>
    <w:basedOn w:val="686"/>
    <w:next w:val="686"/>
    <w:link w:val="69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8">
    <w:name w:val="Heading 2"/>
    <w:basedOn w:val="686"/>
    <w:next w:val="686"/>
    <w:link w:val="70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9">
    <w:name w:val="Heading 3"/>
    <w:basedOn w:val="686"/>
    <w:next w:val="686"/>
    <w:link w:val="70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0">
    <w:name w:val="Heading 4"/>
    <w:basedOn w:val="686"/>
    <w:next w:val="686"/>
    <w:link w:val="70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686"/>
    <w:next w:val="686"/>
    <w:link w:val="70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686"/>
    <w:next w:val="686"/>
    <w:link w:val="70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3">
    <w:name w:val="Heading 7"/>
    <w:basedOn w:val="686"/>
    <w:next w:val="686"/>
    <w:link w:val="70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4">
    <w:name w:val="Heading 8"/>
    <w:basedOn w:val="686"/>
    <w:next w:val="686"/>
    <w:link w:val="70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5">
    <w:name w:val="Heading 9"/>
    <w:basedOn w:val="686"/>
    <w:next w:val="686"/>
    <w:link w:val="70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 w:default="1">
    <w:name w:val="Default Paragraph Font"/>
    <w:uiPriority w:val="1"/>
    <w:semiHidden/>
    <w:unhideWhenUsed/>
  </w:style>
  <w:style w:type="table" w:styleId="6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8" w:default="1">
    <w:name w:val="No List"/>
    <w:uiPriority w:val="99"/>
    <w:semiHidden/>
    <w:unhideWhenUsed/>
  </w:style>
  <w:style w:type="character" w:styleId="699" w:customStyle="1">
    <w:name w:val="Заголовок 1 Знак"/>
    <w:basedOn w:val="696"/>
    <w:link w:val="687"/>
    <w:uiPriority w:val="9"/>
    <w:rPr>
      <w:rFonts w:ascii="Arial" w:hAnsi="Arial" w:eastAsia="Arial" w:cs="Arial"/>
      <w:sz w:val="40"/>
      <w:szCs w:val="40"/>
    </w:rPr>
  </w:style>
  <w:style w:type="character" w:styleId="700" w:customStyle="1">
    <w:name w:val="Заголовок 2 Знак"/>
    <w:basedOn w:val="696"/>
    <w:link w:val="688"/>
    <w:uiPriority w:val="9"/>
    <w:rPr>
      <w:rFonts w:ascii="Arial" w:hAnsi="Arial" w:eastAsia="Arial" w:cs="Arial"/>
      <w:sz w:val="34"/>
    </w:rPr>
  </w:style>
  <w:style w:type="character" w:styleId="701" w:customStyle="1">
    <w:name w:val="Заголовок 3 Знак"/>
    <w:basedOn w:val="696"/>
    <w:link w:val="689"/>
    <w:uiPriority w:val="9"/>
    <w:rPr>
      <w:rFonts w:ascii="Arial" w:hAnsi="Arial" w:eastAsia="Arial" w:cs="Arial"/>
      <w:sz w:val="30"/>
      <w:szCs w:val="30"/>
    </w:rPr>
  </w:style>
  <w:style w:type="character" w:styleId="702" w:customStyle="1">
    <w:name w:val="Заголовок 4 Знак"/>
    <w:basedOn w:val="696"/>
    <w:link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703" w:customStyle="1">
    <w:name w:val="Заголовок 5 Знак"/>
    <w:basedOn w:val="696"/>
    <w:link w:val="691"/>
    <w:uiPriority w:val="9"/>
    <w:rPr>
      <w:rFonts w:ascii="Arial" w:hAnsi="Arial" w:eastAsia="Arial" w:cs="Arial"/>
      <w:b/>
      <w:bCs/>
      <w:sz w:val="24"/>
      <w:szCs w:val="24"/>
    </w:rPr>
  </w:style>
  <w:style w:type="character" w:styleId="704" w:customStyle="1">
    <w:name w:val="Заголовок 6 Знак"/>
    <w:basedOn w:val="69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character" w:styleId="705" w:customStyle="1">
    <w:name w:val="Заголовок 7 Знак"/>
    <w:basedOn w:val="696"/>
    <w:link w:val="6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6" w:customStyle="1">
    <w:name w:val="Заголовок 8 Знак"/>
    <w:basedOn w:val="696"/>
    <w:link w:val="694"/>
    <w:uiPriority w:val="9"/>
    <w:rPr>
      <w:rFonts w:ascii="Arial" w:hAnsi="Arial" w:eastAsia="Arial" w:cs="Arial"/>
      <w:i/>
      <w:iCs/>
      <w:sz w:val="22"/>
      <w:szCs w:val="22"/>
    </w:rPr>
  </w:style>
  <w:style w:type="character" w:styleId="707" w:customStyle="1">
    <w:name w:val="Заголовок 9 Знак"/>
    <w:basedOn w:val="696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after="0" w:line="240" w:lineRule="auto"/>
    </w:pPr>
  </w:style>
  <w:style w:type="paragraph" w:styleId="709">
    <w:name w:val="Title"/>
    <w:basedOn w:val="686"/>
    <w:next w:val="686"/>
    <w:link w:val="710"/>
    <w:uiPriority w:val="10"/>
    <w:qFormat/>
    <w:pPr>
      <w:contextualSpacing/>
      <w:spacing w:before="300"/>
    </w:pPr>
    <w:rPr>
      <w:sz w:val="48"/>
      <w:szCs w:val="48"/>
    </w:rPr>
  </w:style>
  <w:style w:type="character" w:styleId="710" w:customStyle="1">
    <w:name w:val="Заголовок Знак"/>
    <w:basedOn w:val="696"/>
    <w:link w:val="709"/>
    <w:uiPriority w:val="10"/>
    <w:rPr>
      <w:sz w:val="48"/>
      <w:szCs w:val="48"/>
    </w:rPr>
  </w:style>
  <w:style w:type="paragraph" w:styleId="711">
    <w:name w:val="Subtitle"/>
    <w:basedOn w:val="686"/>
    <w:next w:val="686"/>
    <w:link w:val="712"/>
    <w:uiPriority w:val="11"/>
    <w:qFormat/>
    <w:pPr>
      <w:spacing w:before="200"/>
    </w:pPr>
    <w:rPr>
      <w:sz w:val="24"/>
      <w:szCs w:val="24"/>
    </w:rPr>
  </w:style>
  <w:style w:type="character" w:styleId="712" w:customStyle="1">
    <w:name w:val="Подзаголовок Знак"/>
    <w:basedOn w:val="696"/>
    <w:link w:val="711"/>
    <w:uiPriority w:val="11"/>
    <w:rPr>
      <w:sz w:val="24"/>
      <w:szCs w:val="24"/>
    </w:rPr>
  </w:style>
  <w:style w:type="paragraph" w:styleId="713">
    <w:name w:val="Quote"/>
    <w:basedOn w:val="686"/>
    <w:next w:val="686"/>
    <w:link w:val="714"/>
    <w:uiPriority w:val="29"/>
    <w:qFormat/>
    <w:pPr>
      <w:ind w:left="720" w:right="720"/>
    </w:pPr>
    <w:rPr>
      <w:i/>
    </w:rPr>
  </w:style>
  <w:style w:type="character" w:styleId="714" w:customStyle="1">
    <w:name w:val="Цитата 2 Знак"/>
    <w:link w:val="713"/>
    <w:uiPriority w:val="29"/>
    <w:rPr>
      <w:i/>
    </w:rPr>
  </w:style>
  <w:style w:type="paragraph" w:styleId="715">
    <w:name w:val="Intense Quote"/>
    <w:basedOn w:val="686"/>
    <w:next w:val="686"/>
    <w:link w:val="71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 w:customStyle="1">
    <w:name w:val="Выделенная цитата Знак"/>
    <w:link w:val="715"/>
    <w:uiPriority w:val="30"/>
    <w:rPr>
      <w:i/>
    </w:rPr>
  </w:style>
  <w:style w:type="character" w:styleId="717" w:customStyle="1">
    <w:name w:val="Header Char"/>
    <w:basedOn w:val="696"/>
    <w:uiPriority w:val="99"/>
  </w:style>
  <w:style w:type="character" w:styleId="718" w:customStyle="1">
    <w:name w:val="Footer Char"/>
    <w:basedOn w:val="696"/>
    <w:uiPriority w:val="99"/>
  </w:style>
  <w:style w:type="paragraph" w:styleId="719">
    <w:name w:val="Caption"/>
    <w:basedOn w:val="686"/>
    <w:next w:val="686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 w:customStyle="1">
    <w:name w:val="Table Grid Light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2">
    <w:name w:val="Plain Table 1"/>
    <w:basedOn w:val="69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69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 w:customStyle="1">
    <w:name w:val="Grid Table 4 - Accent 1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0" w:customStyle="1">
    <w:name w:val="Grid Table 4 - Accent 2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1" w:customStyle="1">
    <w:name w:val="Grid Table 4 - Accent 3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2" w:customStyle="1">
    <w:name w:val="Grid Table 4 - Accent 4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3" w:customStyle="1">
    <w:name w:val="Grid Table 4 - Accent 5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4" w:customStyle="1">
    <w:name w:val="Grid Table 4 - Accent 6"/>
    <w:basedOn w:val="69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5">
    <w:name w:val="Grid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2">
    <w:name w:val="Grid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3" w:customStyle="1">
    <w:name w:val="Grid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4" w:customStyle="1">
    <w:name w:val="Grid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5" w:customStyle="1">
    <w:name w:val="Grid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6" w:customStyle="1">
    <w:name w:val="Grid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7" w:customStyle="1">
    <w:name w:val="Grid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8" w:customStyle="1">
    <w:name w:val="Grid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>
    <w:name w:val="Grid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0" w:customStyle="1">
    <w:name w:val="Grid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>
    <w:name w:val="List Table 1 Light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1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2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3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4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5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6"/>
    <w:basedOn w:val="69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>
    <w:name w:val="List Table 6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2" w:customStyle="1">
    <w:name w:val="List Table 6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3" w:customStyle="1">
    <w:name w:val="List Table 6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4" w:customStyle="1">
    <w:name w:val="List Table 6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5" w:customStyle="1">
    <w:name w:val="List Table 6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6" w:customStyle="1">
    <w:name w:val="List Table 6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7" w:customStyle="1">
    <w:name w:val="List Table 6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8">
    <w:name w:val="List Table 7 Colorful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List Table 7 Colorful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6" w:customStyle="1">
    <w:name w:val="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7" w:customStyle="1">
    <w:name w:val="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8" w:customStyle="1">
    <w:name w:val="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9" w:customStyle="1">
    <w:name w:val="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0" w:customStyle="1">
    <w:name w:val="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1" w:customStyle="1">
    <w:name w:val="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2" w:customStyle="1">
    <w:name w:val="Bordered &amp; Lined - Accent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3" w:customStyle="1">
    <w:name w:val="Bordered &amp; Lined - Accent 1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4" w:customStyle="1">
    <w:name w:val="Bordered &amp; Lined - Accent 2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5" w:customStyle="1">
    <w:name w:val="Bordered &amp; Lined - Accent 3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6" w:customStyle="1">
    <w:name w:val="Bordered &amp; Lined - Accent 4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7" w:customStyle="1">
    <w:name w:val="Bordered &amp; Lined - Accent 5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8" w:customStyle="1">
    <w:name w:val="Bordered &amp; Lined - Accent 6"/>
    <w:basedOn w:val="69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9" w:customStyle="1">
    <w:name w:val="Bordered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0" w:customStyle="1">
    <w:name w:val="Bordered - Accent 1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1" w:customStyle="1">
    <w:name w:val="Bordered - Accent 2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2" w:customStyle="1">
    <w:name w:val="Bordered - Accent 3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3" w:customStyle="1">
    <w:name w:val="Bordered - Accent 4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4" w:customStyle="1">
    <w:name w:val="Bordered - Accent 5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5" w:customStyle="1">
    <w:name w:val="Bordered - Accent 6"/>
    <w:basedOn w:val="69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6">
    <w:name w:val="footnote text"/>
    <w:basedOn w:val="686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96"/>
    <w:uiPriority w:val="99"/>
    <w:unhideWhenUsed/>
    <w:rPr>
      <w:vertAlign w:val="superscript"/>
    </w:rPr>
  </w:style>
  <w:style w:type="paragraph" w:styleId="849">
    <w:name w:val="endnote text"/>
    <w:basedOn w:val="686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96"/>
    <w:uiPriority w:val="99"/>
    <w:semiHidden/>
    <w:unhideWhenUsed/>
    <w:rPr>
      <w:vertAlign w:val="superscript"/>
    </w:rPr>
  </w:style>
  <w:style w:type="paragraph" w:styleId="852">
    <w:name w:val="toc 1"/>
    <w:basedOn w:val="686"/>
    <w:next w:val="686"/>
    <w:uiPriority w:val="39"/>
    <w:unhideWhenUsed/>
    <w:pPr>
      <w:spacing w:after="57"/>
    </w:pPr>
  </w:style>
  <w:style w:type="paragraph" w:styleId="853">
    <w:name w:val="toc 2"/>
    <w:basedOn w:val="686"/>
    <w:next w:val="686"/>
    <w:uiPriority w:val="39"/>
    <w:unhideWhenUsed/>
    <w:pPr>
      <w:ind w:left="283"/>
      <w:spacing w:after="57"/>
    </w:pPr>
  </w:style>
  <w:style w:type="paragraph" w:styleId="854">
    <w:name w:val="toc 3"/>
    <w:basedOn w:val="686"/>
    <w:next w:val="686"/>
    <w:uiPriority w:val="39"/>
    <w:unhideWhenUsed/>
    <w:pPr>
      <w:ind w:left="567"/>
      <w:spacing w:after="57"/>
    </w:pPr>
  </w:style>
  <w:style w:type="paragraph" w:styleId="855">
    <w:name w:val="toc 4"/>
    <w:basedOn w:val="686"/>
    <w:next w:val="686"/>
    <w:uiPriority w:val="39"/>
    <w:unhideWhenUsed/>
    <w:pPr>
      <w:ind w:left="850"/>
      <w:spacing w:after="57"/>
    </w:pPr>
  </w:style>
  <w:style w:type="paragraph" w:styleId="856">
    <w:name w:val="toc 5"/>
    <w:basedOn w:val="686"/>
    <w:next w:val="686"/>
    <w:uiPriority w:val="39"/>
    <w:unhideWhenUsed/>
    <w:pPr>
      <w:ind w:left="1134"/>
      <w:spacing w:after="57"/>
    </w:pPr>
  </w:style>
  <w:style w:type="paragraph" w:styleId="857">
    <w:name w:val="toc 6"/>
    <w:basedOn w:val="686"/>
    <w:next w:val="686"/>
    <w:uiPriority w:val="39"/>
    <w:unhideWhenUsed/>
    <w:pPr>
      <w:ind w:left="1417"/>
      <w:spacing w:after="57"/>
    </w:pPr>
  </w:style>
  <w:style w:type="paragraph" w:styleId="858">
    <w:name w:val="toc 7"/>
    <w:basedOn w:val="686"/>
    <w:next w:val="686"/>
    <w:uiPriority w:val="39"/>
    <w:unhideWhenUsed/>
    <w:pPr>
      <w:ind w:left="1701"/>
      <w:spacing w:after="57"/>
    </w:pPr>
  </w:style>
  <w:style w:type="paragraph" w:styleId="859">
    <w:name w:val="toc 8"/>
    <w:basedOn w:val="686"/>
    <w:next w:val="686"/>
    <w:uiPriority w:val="39"/>
    <w:unhideWhenUsed/>
    <w:pPr>
      <w:ind w:left="1984"/>
      <w:spacing w:after="57"/>
    </w:pPr>
  </w:style>
  <w:style w:type="paragraph" w:styleId="860">
    <w:name w:val="toc 9"/>
    <w:basedOn w:val="686"/>
    <w:next w:val="686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86"/>
    <w:next w:val="686"/>
    <w:uiPriority w:val="99"/>
    <w:unhideWhenUsed/>
    <w:pPr>
      <w:spacing w:after="0"/>
    </w:pPr>
  </w:style>
  <w:style w:type="table" w:styleId="863">
    <w:name w:val="Table Grid"/>
    <w:basedOn w:val="69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4">
    <w:name w:val="Header"/>
    <w:basedOn w:val="686"/>
    <w:link w:val="8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696"/>
    <w:link w:val="864"/>
    <w:uiPriority w:val="99"/>
  </w:style>
  <w:style w:type="paragraph" w:styleId="866">
    <w:name w:val="Footer"/>
    <w:basedOn w:val="686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696"/>
    <w:link w:val="866"/>
    <w:uiPriority w:val="99"/>
  </w:style>
  <w:style w:type="paragraph" w:styleId="868">
    <w:name w:val="Revision"/>
    <w:hidden/>
    <w:uiPriority w:val="99"/>
    <w:semiHidden/>
    <w:pPr>
      <w:spacing w:after="0" w:line="240" w:lineRule="auto"/>
    </w:pPr>
  </w:style>
  <w:style w:type="paragraph" w:styleId="869">
    <w:name w:val="Balloon Text"/>
    <w:basedOn w:val="686"/>
    <w:link w:val="87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0" w:customStyle="1">
    <w:name w:val="Текст выноски Знак"/>
    <w:basedOn w:val="696"/>
    <w:link w:val="869"/>
    <w:uiPriority w:val="99"/>
    <w:semiHidden/>
    <w:rPr>
      <w:rFonts w:ascii="Tahoma" w:hAnsi="Tahoma" w:cs="Tahoma"/>
      <w:sz w:val="16"/>
      <w:szCs w:val="16"/>
    </w:rPr>
  </w:style>
  <w:style w:type="character" w:styleId="871">
    <w:name w:val="annotation reference"/>
    <w:basedOn w:val="696"/>
    <w:unhideWhenUsed/>
    <w:rPr>
      <w:sz w:val="16"/>
      <w:szCs w:val="16"/>
    </w:rPr>
  </w:style>
  <w:style w:type="paragraph" w:styleId="872">
    <w:name w:val="annotation text"/>
    <w:basedOn w:val="686"/>
    <w:link w:val="873"/>
    <w:unhideWhenUsed/>
    <w:pPr>
      <w:spacing w:line="240" w:lineRule="auto"/>
    </w:pPr>
    <w:rPr>
      <w:sz w:val="20"/>
      <w:szCs w:val="20"/>
    </w:rPr>
  </w:style>
  <w:style w:type="character" w:styleId="873" w:customStyle="1">
    <w:name w:val="Текст примечания Знак"/>
    <w:basedOn w:val="696"/>
    <w:link w:val="872"/>
    <w:uiPriority w:val="99"/>
    <w:rPr>
      <w:sz w:val="20"/>
      <w:szCs w:val="20"/>
    </w:rPr>
  </w:style>
  <w:style w:type="paragraph" w:styleId="874">
    <w:name w:val="annotation subject"/>
    <w:basedOn w:val="872"/>
    <w:next w:val="872"/>
    <w:link w:val="875"/>
    <w:uiPriority w:val="99"/>
    <w:semiHidden/>
    <w:unhideWhenUsed/>
    <w:rPr>
      <w:b/>
      <w:bCs/>
    </w:rPr>
  </w:style>
  <w:style w:type="character" w:styleId="875" w:customStyle="1">
    <w:name w:val="Тема примечания Знак"/>
    <w:basedOn w:val="873"/>
    <w:link w:val="874"/>
    <w:uiPriority w:val="99"/>
    <w:semiHidden/>
    <w:rPr>
      <w:b/>
      <w:bCs/>
      <w:sz w:val="20"/>
      <w:szCs w:val="20"/>
    </w:rPr>
  </w:style>
  <w:style w:type="character" w:styleId="876">
    <w:name w:val="Hyperlink"/>
    <w:basedOn w:val="696"/>
    <w:uiPriority w:val="99"/>
    <w:unhideWhenUsed/>
    <w:rPr>
      <w:color w:val="0000ff" w:themeColor="hyperlink"/>
      <w:u w:val="single"/>
    </w:rPr>
  </w:style>
  <w:style w:type="paragraph" w:styleId="877">
    <w:name w:val="List Paragraph"/>
    <w:basedOn w:val="68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://www.dom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262CD-9C6F-4406-BB4C-82285D5F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Шагаргазина Регина Валинуровна</dc:creator>
  <cp:lastModifiedBy>skornyakova_ey</cp:lastModifiedBy>
  <cp:revision>5</cp:revision>
  <dcterms:created xsi:type="dcterms:W3CDTF">2025-10-24T06:45:00Z</dcterms:created>
  <dcterms:modified xsi:type="dcterms:W3CDTF">2025-11-07T04:27:12Z</dcterms:modified>
</cp:coreProperties>
</file>