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ind w:firstLine="0"/>
        <w:jc w:val="right"/>
        <w:widowControl w:val="off"/>
        <w:rPr>
          <w:szCs w:val="28"/>
        </w:rPr>
      </w:pPr>
      <w:r>
        <w:rPr>
          <w:szCs w:val="28"/>
        </w:rPr>
        <w:t xml:space="preserve">Вариант 1</w:t>
      </w:r>
      <w:r>
        <w:rPr>
          <w:szCs w:val="28"/>
        </w:rPr>
      </w:r>
      <w:r>
        <w:rPr>
          <w:szCs w:val="28"/>
        </w:rPr>
      </w:r>
    </w:p>
    <w:p>
      <w:pPr>
        <w:pStyle w:val="711"/>
        <w:ind w:firstLine="0"/>
        <w:jc w:val="center"/>
        <w:widowControl w:val="off"/>
        <w:rPr>
          <w:rFonts w:eastAsia="Times"/>
          <w:spacing w:val="-4"/>
          <w:szCs w:val="28"/>
        </w:rPr>
      </w:pPr>
      <w:r>
        <w:rPr>
          <w:rFonts w:eastAsia="Times"/>
          <w:spacing w:val="-4"/>
          <w:szCs w:val="28"/>
        </w:rPr>
      </w:r>
      <w:r>
        <w:rPr>
          <w:rFonts w:eastAsia="Times"/>
          <w:spacing w:val="-4"/>
          <w:szCs w:val="28"/>
        </w:rPr>
      </w:r>
    </w:p>
    <w:p>
      <w:pPr>
        <w:pStyle w:val="711"/>
        <w:ind w:firstLine="0"/>
        <w:jc w:val="center"/>
        <w:widowControl w:val="off"/>
        <w:rPr>
          <w:rFonts w:eastAsia="Times"/>
          <w:b/>
          <w:spacing w:val="-4"/>
          <w:szCs w:val="28"/>
        </w:rPr>
      </w:pPr>
      <w:r>
        <w:rPr>
          <w:rFonts w:eastAsia="Times"/>
          <w:b/>
          <w:spacing w:val="-4"/>
          <w:szCs w:val="28"/>
        </w:rPr>
        <w:t xml:space="preserve">Типовое техническое решение по</w:t>
      </w:r>
      <w:r>
        <w:rPr>
          <w:rFonts w:eastAsia="Times"/>
          <w:b/>
          <w:spacing w:val="-4"/>
          <w:szCs w:val="28"/>
        </w:rPr>
        <w:t xml:space="preserve"> организаци</w:t>
      </w:r>
      <w:r>
        <w:rPr>
          <w:rFonts w:eastAsia="Times"/>
          <w:b/>
          <w:spacing w:val="-4"/>
          <w:szCs w:val="28"/>
        </w:rPr>
        <w:t xml:space="preserve">и</w:t>
      </w:r>
      <w:r>
        <w:rPr>
          <w:rFonts w:eastAsia="Times"/>
          <w:b/>
          <w:spacing w:val="-4"/>
          <w:szCs w:val="28"/>
        </w:rPr>
        <w:t xml:space="preserve"> коммерческого учета электроэнергии в многоквартирных жилых домах</w:t>
      </w:r>
      <w:r>
        <w:rPr>
          <w:rFonts w:eastAsia="Times"/>
          <w:b/>
          <w:spacing w:val="-4"/>
          <w:szCs w:val="28"/>
        </w:rPr>
        <w:t xml:space="preserve">-</w:t>
      </w:r>
      <w:r>
        <w:rPr>
          <w:rFonts w:eastAsia="Times"/>
          <w:b/>
          <w:spacing w:val="-4"/>
          <w:szCs w:val="28"/>
        </w:rPr>
        <w:t xml:space="preserve">новостройках</w:t>
      </w:r>
      <w:r>
        <w:rPr>
          <w:rFonts w:eastAsia="Times"/>
          <w:b/>
          <w:spacing w:val="-4"/>
          <w:szCs w:val="28"/>
        </w:rPr>
        <w:t xml:space="preserve"> с использованием </w:t>
      </w:r>
      <w:r>
        <w:rPr>
          <w:rFonts w:eastAsia="Times"/>
          <w:b/>
          <w:spacing w:val="-4"/>
          <w:szCs w:val="28"/>
        </w:rPr>
        <w:t xml:space="preserve">самоорганизующейся </w:t>
      </w:r>
      <w:r>
        <w:rPr>
          <w:rFonts w:eastAsia="Times"/>
          <w:b/>
          <w:spacing w:val="-4"/>
          <w:szCs w:val="28"/>
          <w:lang w:val="en-US"/>
        </w:rPr>
        <w:t xml:space="preserve">ZigBee</w:t>
      </w:r>
      <w:r>
        <w:rPr>
          <w:rFonts w:eastAsia="Times"/>
          <w:b/>
          <w:spacing w:val="-4"/>
          <w:szCs w:val="28"/>
        </w:rPr>
        <w:t xml:space="preserve"> сети</w:t>
      </w:r>
      <w:r>
        <w:rPr>
          <w:rFonts w:eastAsia="Times"/>
          <w:b/>
          <w:spacing w:val="-4"/>
          <w:szCs w:val="28"/>
        </w:rPr>
        <w:t xml:space="preserve"> и </w:t>
      </w:r>
      <w:r>
        <w:rPr>
          <w:rFonts w:eastAsia="Times"/>
          <w:b/>
          <w:spacing w:val="-4"/>
          <w:szCs w:val="28"/>
        </w:rPr>
        <w:t xml:space="preserve">бес</w:t>
      </w:r>
      <w:r>
        <w:rPr>
          <w:rFonts w:eastAsia="Times"/>
          <w:b/>
          <w:spacing w:val="-4"/>
          <w:szCs w:val="28"/>
        </w:rPr>
        <w:t xml:space="preserve">проводного (</w:t>
      </w:r>
      <w:r>
        <w:rPr>
          <w:rFonts w:eastAsia="Times"/>
          <w:b/>
          <w:spacing w:val="-4"/>
          <w:szCs w:val="28"/>
          <w:lang w:val="en-US"/>
        </w:rPr>
        <w:t xml:space="preserve">NB</w:t>
      </w:r>
      <w:r>
        <w:rPr>
          <w:rFonts w:eastAsia="Times"/>
          <w:b/>
          <w:spacing w:val="-4"/>
          <w:szCs w:val="28"/>
        </w:rPr>
        <w:t xml:space="preserve">-</w:t>
      </w:r>
      <w:r>
        <w:rPr>
          <w:rFonts w:eastAsia="Times"/>
          <w:b/>
          <w:spacing w:val="-4"/>
          <w:szCs w:val="28"/>
          <w:lang w:val="en-US"/>
        </w:rPr>
        <w:t xml:space="preserve">Iot</w:t>
      </w:r>
      <w:r>
        <w:rPr>
          <w:rFonts w:eastAsia="Times"/>
          <w:b/>
          <w:spacing w:val="-4"/>
          <w:szCs w:val="28"/>
        </w:rPr>
        <w:t xml:space="preserve">)</w:t>
      </w:r>
      <w:r>
        <w:rPr>
          <w:rFonts w:eastAsia="Times"/>
          <w:b/>
          <w:spacing w:val="-4"/>
          <w:szCs w:val="28"/>
        </w:rPr>
        <w:t xml:space="preserve"> канала связи</w:t>
      </w:r>
      <w:r>
        <w:rPr>
          <w:rFonts w:eastAsia="Times"/>
          <w:b/>
          <w:spacing w:val="-4"/>
          <w:szCs w:val="28"/>
        </w:rPr>
      </w:r>
      <w:r>
        <w:rPr>
          <w:rFonts w:eastAsia="Times"/>
          <w:b/>
          <w:spacing w:val="-4"/>
          <w:szCs w:val="28"/>
        </w:rPr>
      </w:r>
    </w:p>
    <w:p>
      <w:pPr>
        <w:pStyle w:val="711"/>
        <w:ind w:firstLine="0"/>
        <w:jc w:val="center"/>
        <w:widowControl w:val="off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03"/>
        <w:ind w:right="43"/>
        <w:jc w:val="both"/>
        <w:keepNext/>
        <w:widowControl w:val="off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28690" cy="487616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28690" cy="487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4.70pt;height:383.9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703"/>
        <w:ind w:right="43"/>
        <w:jc w:val="both"/>
        <w:widowControl w:val="off"/>
      </w:pPr>
      <w:r>
        <w:tab/>
      </w:r>
      <w:r/>
    </w:p>
    <w:p>
      <w:pPr>
        <w:pStyle w:val="703"/>
        <w:ind w:right="43"/>
        <w:jc w:val="both"/>
        <w:widowControl w:val="off"/>
      </w:pPr>
      <w:r>
        <w:t xml:space="preserve">Оснащенные беспроводными модулями </w:t>
      </w:r>
      <w:r>
        <w:rPr>
          <w:lang w:val="en-US"/>
        </w:rPr>
        <w:t xml:space="preserve">ZigBee</w:t>
      </w:r>
      <w:r>
        <w:t xml:space="preserve"> приборы учета электроэнергии</w:t>
      </w:r>
      <w:r>
        <w:t xml:space="preserve"> </w:t>
      </w:r>
      <w:r>
        <w:t xml:space="preserve">осуществляют информационный обмен с интеллектуальной системой учета гарантирующего поставщика с использованием беспроводных модулей стандарта </w:t>
      </w:r>
      <w:r>
        <w:rPr>
          <w:lang w:val="en-US"/>
        </w:rPr>
        <w:t xml:space="preserve">NB</w:t>
      </w:r>
      <w:r>
        <w:t xml:space="preserve">-</w:t>
      </w:r>
      <w:r>
        <w:rPr>
          <w:lang w:val="en-US"/>
        </w:rPr>
        <w:t xml:space="preserve">IoT</w:t>
      </w:r>
      <w:r>
        <w:t xml:space="preserve">.</w:t>
      </w:r>
      <w:r/>
    </w:p>
    <w:p>
      <w:pPr>
        <w:pStyle w:val="703"/>
        <w:jc w:val="both"/>
        <w:widowControl w:val="off"/>
      </w:pPr>
      <w:r>
        <w:tab/>
        <w:t xml:space="preserve">Дополнительные требования:</w:t>
      </w:r>
      <w:r/>
    </w:p>
    <w:p>
      <w:pPr>
        <w:pStyle w:val="703"/>
        <w:numPr>
          <w:ilvl w:val="0"/>
          <w:numId w:val="21"/>
        </w:numPr>
        <w:jc w:val="both"/>
        <w:widowControl w:val="off"/>
      </w:pPr>
      <w:r>
        <w:t xml:space="preserve">так как технология </w:t>
      </w:r>
      <w:r>
        <w:t xml:space="preserve">NB-IoT</w:t>
      </w:r>
      <w:r>
        <w:t xml:space="preserve"> поддерживается не всеми базовыми станциями и беспроводной </w:t>
      </w:r>
      <w:r>
        <w:t xml:space="preserve">NB-IoT</w:t>
      </w:r>
      <w:r>
        <w:t xml:space="preserve"> модуль привязан к конкретному оператору сотовой связи, то данное техническое решение может быть использовано только в зоне уверенного покрытия сигнала сотовой связи поддерживающей </w:t>
      </w:r>
      <w:r>
        <w:t xml:space="preserve">NB-IoT </w:t>
      </w:r>
      <w:r>
        <w:t xml:space="preserve">базовой станции соответствующего сотового оператора;</w:t>
      </w:r>
      <w:r/>
    </w:p>
    <w:p>
      <w:pPr>
        <w:pStyle w:val="703"/>
        <w:numPr>
          <w:ilvl w:val="0"/>
          <w:numId w:val="21"/>
        </w:numPr>
        <w:jc w:val="both"/>
      </w:pPr>
      <w:r>
        <w:t xml:space="preserve">и</w:t>
      </w:r>
      <w:r>
        <w:t xml:space="preserve">спользовать приборы учета, совместимые с программным обеспечением центра сбора данных интеллектуальной систем</w:t>
      </w:r>
      <w:r>
        <w:t xml:space="preserve">ы</w:t>
      </w:r>
      <w:r>
        <w:t xml:space="preserve"> учета </w:t>
      </w:r>
      <w:r>
        <w:t xml:space="preserve">ОО</w:t>
      </w:r>
      <w:r>
        <w:t xml:space="preserve">О «</w:t>
      </w:r>
      <w:r>
        <w:t xml:space="preserve">ЭСКБ</w:t>
      </w:r>
      <w:r>
        <w:t xml:space="preserve">»</w:t>
      </w:r>
      <w:r>
        <w:t xml:space="preserve">;</w:t>
      </w:r>
      <w:r/>
    </w:p>
    <w:p>
      <w:pPr>
        <w:pStyle w:val="703"/>
        <w:numPr>
          <w:ilvl w:val="0"/>
          <w:numId w:val="21"/>
        </w:numPr>
        <w:jc w:val="both"/>
        <w:widowControl w:val="off"/>
        <w:rPr>
          <w:b/>
          <w:sz w:val="24"/>
          <w:szCs w:val="28"/>
        </w:rPr>
      </w:pPr>
      <w:r>
        <w:t xml:space="preserve">п</w:t>
      </w:r>
      <w:r>
        <w:t xml:space="preserve">роект организации учета требует согласования с </w:t>
      </w:r>
      <w:r>
        <w:t xml:space="preserve">ОО</w:t>
      </w:r>
      <w:r>
        <w:t xml:space="preserve">О «</w:t>
      </w:r>
      <w:r>
        <w:t xml:space="preserve">ЭСКБ</w:t>
      </w:r>
      <w:r>
        <w:t xml:space="preserve">»</w:t>
      </w:r>
      <w:r>
        <w:t xml:space="preserve">.</w:t>
      </w:r>
      <w:r>
        <w:t xml:space="preserve"> 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sectPr>
      <w:headerReference w:type="even" r:id="rId9"/>
      <w:footerReference w:type="default" r:id="rId10"/>
      <w:footerReference w:type="first" r:id="rId11"/>
      <w:footnotePr/>
      <w:endnotePr/>
      <w:type w:val="nextPage"/>
      <w:pgSz w:w="11899" w:h="16838" w:orient="portrait"/>
      <w:pgMar w:top="1134" w:right="1126" w:bottom="1134" w:left="1134" w:header="709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Ti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</w:pPr>
    <w:r/>
    <w:r/>
  </w:p>
  <w:p>
    <w:pPr>
      <w:pStyle w:val="7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rPr>
        <w:rStyle w:val="710"/>
      </w:rPr>
      <w:framePr w:wrap="around" w:vAnchor="text" w:hAnchor="margin" w:xAlign="center" w:y="1"/>
    </w:pPr>
    <w:r>
      <w:rPr>
        <w:rStyle w:val="710"/>
      </w:rPr>
      <w:fldChar w:fldCharType="begin"/>
    </w:r>
    <w:r>
      <w:rPr>
        <w:rStyle w:val="710"/>
      </w:rPr>
      <w:instrText xml:space="preserve">PAGE  </w:instrText>
    </w:r>
    <w:r>
      <w:rPr>
        <w:rStyle w:val="710"/>
      </w:rPr>
      <w:fldChar w:fldCharType="separate"/>
    </w:r>
    <w:r>
      <w:rPr>
        <w:rStyle w:val="710"/>
      </w:rPr>
      <w:t xml:space="preserve">4</w:t>
    </w:r>
    <w:r>
      <w:rPr>
        <w:rStyle w:val="710"/>
      </w:rPr>
      <w:fldChar w:fldCharType="end"/>
    </w:r>
    <w:r>
      <w:rPr>
        <w:rStyle w:val="710"/>
      </w:rPr>
    </w:r>
    <w:r>
      <w:rPr>
        <w:rStyle w:val="710"/>
      </w:rPr>
    </w:r>
  </w:p>
  <w:p>
    <w:pPr>
      <w:pStyle w:val="7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  <w:rPr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1003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5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29" w:hanging="108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2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5" w:hanging="144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498" w:hanging="180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81" w:hanging="180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4" w:hanging="2160"/>
      </w:pPr>
      <w:rPr>
        <w:b w:val="0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1112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9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91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02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12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86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95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056" w:hanging="2160"/>
      </w:p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4"/>
      <w:numFmt w:val="decimal"/>
      <w:isLgl w:val="false"/>
      <w:suff w:val="tab"/>
      <w:lvlText w:val="%1.%2"/>
      <w:lvlJc w:val="left"/>
      <w:pPr>
        <w:ind w:left="1112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9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91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02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12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86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95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056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  <w:tabs>
          <w:tab w:val="num" w:pos="1571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54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91" w:hanging="720"/>
        <w:tabs>
          <w:tab w:val="num" w:pos="2291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1080"/>
        <w:tabs>
          <w:tab w:val="num" w:pos="39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680" w:hanging="1080"/>
        <w:tabs>
          <w:tab w:val="num" w:pos="46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760" w:hanging="1440"/>
        <w:tabs>
          <w:tab w:val="num" w:pos="57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840" w:hanging="1800"/>
        <w:tabs>
          <w:tab w:val="num" w:pos="68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560" w:hanging="1800"/>
        <w:tabs>
          <w:tab w:val="num" w:pos="75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40" w:hanging="2160"/>
        <w:tabs>
          <w:tab w:val="num" w:pos="864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12" w:hanging="360"/>
        <w:tabs>
          <w:tab w:val="num" w:pos="1212" w:leader="none"/>
        </w:tabs>
      </w:pPr>
      <w:rPr>
        <w:rFonts w:ascii="Times New Roman" w:hAnsi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strike w:val="0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3"/>
      <w:numFmt w:val="decimal"/>
      <w:isLgl w:val="false"/>
      <w:suff w:val="tab"/>
      <w:lvlText w:val="%1.%2"/>
      <w:lvlJc w:val="left"/>
      <w:pPr>
        <w:ind w:left="1112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9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91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02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12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86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95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056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"/>
      <w:lvlJc w:val="left"/>
      <w:pPr>
        <w:ind w:left="715" w:hanging="432"/>
      </w:pPr>
      <w:rPr>
        <w:rFonts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b w:val="0"/>
        <w:i w:val="0"/>
        <w:sz w:val="28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224" w:hanging="504"/>
      </w:pPr>
      <w:rPr>
        <w:rFonts w:ascii="Courier New" w:hAnsi="Courier New" w:cs="Courier New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1440"/>
        <w:tabs>
          <w:tab w:val="num" w:pos="144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10" w:hanging="1440"/>
        <w:tabs>
          <w:tab w:val="num" w:pos="211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780" w:hanging="1440"/>
        <w:tabs>
          <w:tab w:val="num" w:pos="27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450" w:hanging="1440"/>
        <w:tabs>
          <w:tab w:val="num" w:pos="345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120" w:hanging="1440"/>
        <w:tabs>
          <w:tab w:val="num" w:pos="41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90" w:hanging="1440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820" w:hanging="1800"/>
        <w:tabs>
          <w:tab w:val="num" w:pos="58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90" w:hanging="1800"/>
        <w:tabs>
          <w:tab w:val="num" w:pos="649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20" w:hanging="2160"/>
        <w:tabs>
          <w:tab w:val="num" w:pos="7520" w:leader="none"/>
        </w:tabs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4"/>
  </w:num>
  <w:num w:numId="13">
    <w:abstractNumId w:val="5"/>
  </w:num>
  <w:num w:numId="14">
    <w:abstractNumId w:val="1"/>
  </w:num>
  <w:num w:numId="15">
    <w:abstractNumId w:val="10"/>
  </w:num>
  <w:num w:numId="16">
    <w:abstractNumId w:val="3"/>
  </w:num>
  <w:num w:numId="17">
    <w:abstractNumId w:val="17"/>
  </w:num>
  <w:num w:numId="18">
    <w:abstractNumId w:val="2"/>
  </w:num>
  <w:num w:numId="19">
    <w:abstractNumId w:val="14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3"/>
    <w:next w:val="7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3"/>
    <w:next w:val="7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3"/>
    <w:next w:val="7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3"/>
    <w:next w:val="7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next w:val="703"/>
    <w:link w:val="703"/>
    <w:qFormat/>
    <w:rPr>
      <w:bCs/>
      <w:color w:val="000000"/>
      <w:sz w:val="28"/>
      <w:lang w:val="ru-RU" w:eastAsia="ru-RU" w:bidi="ar-SA"/>
    </w:rPr>
  </w:style>
  <w:style w:type="paragraph" w:styleId="704">
    <w:name w:val="Заголовок 1"/>
    <w:basedOn w:val="703"/>
    <w:next w:val="703"/>
    <w:link w:val="718"/>
    <w:qFormat/>
    <w:pPr>
      <w:keepNext/>
      <w:outlineLvl w:val="0"/>
    </w:pPr>
    <w:rPr>
      <w:b/>
      <w:bCs w:val="0"/>
      <w:color w:val="000000"/>
      <w:sz w:val="18"/>
    </w:rPr>
  </w:style>
  <w:style w:type="paragraph" w:styleId="705">
    <w:name w:val="Заголовок 2"/>
    <w:basedOn w:val="703"/>
    <w:next w:val="703"/>
    <w:link w:val="703"/>
    <w:qFormat/>
    <w:pPr>
      <w:jc w:val="both"/>
      <w:keepNext/>
      <w:outlineLvl w:val="1"/>
    </w:pPr>
    <w:rPr>
      <w:b/>
      <w:bCs w:val="0"/>
    </w:rPr>
  </w:style>
  <w:style w:type="character" w:styleId="706">
    <w:name w:val="Основной шрифт абзаца"/>
    <w:next w:val="706"/>
    <w:link w:val="703"/>
    <w:uiPriority w:val="1"/>
    <w:semiHidden/>
    <w:unhideWhenUsed/>
  </w:style>
  <w:style w:type="table" w:styleId="707">
    <w:name w:val="Обычная таблица"/>
    <w:next w:val="707"/>
    <w:link w:val="703"/>
    <w:uiPriority w:val="99"/>
    <w:semiHidden/>
    <w:unhideWhenUsed/>
    <w:tblPr/>
  </w:style>
  <w:style w:type="numbering" w:styleId="708">
    <w:name w:val="Нет списка"/>
    <w:next w:val="708"/>
    <w:link w:val="703"/>
    <w:uiPriority w:val="99"/>
    <w:semiHidden/>
    <w:unhideWhenUsed/>
  </w:style>
  <w:style w:type="paragraph" w:styleId="709">
    <w:name w:val="Верхний колонтитул"/>
    <w:basedOn w:val="703"/>
    <w:next w:val="709"/>
    <w:link w:val="703"/>
    <w:pPr>
      <w:tabs>
        <w:tab w:val="center" w:pos="4677" w:leader="none"/>
        <w:tab w:val="right" w:pos="9355" w:leader="none"/>
      </w:tabs>
    </w:pPr>
    <w:rPr>
      <w:rFonts w:ascii="Times" w:hAnsi="Times" w:eastAsia="Times"/>
      <w:bCs w:val="0"/>
      <w:color w:val="000000"/>
      <w:sz w:val="24"/>
      <w:lang w:val="en-US"/>
    </w:rPr>
  </w:style>
  <w:style w:type="character" w:styleId="710">
    <w:name w:val="Номер страницы"/>
    <w:basedOn w:val="706"/>
    <w:next w:val="710"/>
    <w:link w:val="703"/>
  </w:style>
  <w:style w:type="paragraph" w:styleId="711">
    <w:name w:val="Основной текст с отступом"/>
    <w:basedOn w:val="703"/>
    <w:next w:val="711"/>
    <w:link w:val="703"/>
    <w:pPr>
      <w:ind w:firstLine="720"/>
      <w:jc w:val="both"/>
    </w:pPr>
  </w:style>
  <w:style w:type="paragraph" w:styleId="712">
    <w:name w:val="Цитата"/>
    <w:basedOn w:val="703"/>
    <w:next w:val="712"/>
    <w:link w:val="703"/>
    <w:pPr>
      <w:ind w:left="-142" w:right="-2" w:firstLine="142"/>
      <w:jc w:val="both"/>
    </w:pPr>
    <w:rPr>
      <w:bCs w:val="0"/>
      <w:color w:val="000000"/>
      <w:sz w:val="26"/>
    </w:rPr>
  </w:style>
  <w:style w:type="paragraph" w:styleId="713">
    <w:name w:val="Основной текст"/>
    <w:basedOn w:val="703"/>
    <w:next w:val="713"/>
    <w:link w:val="703"/>
    <w:pPr>
      <w:jc w:val="both"/>
    </w:pPr>
    <w:rPr>
      <w:b/>
      <w:bCs w:val="0"/>
      <w:sz w:val="24"/>
    </w:rPr>
  </w:style>
  <w:style w:type="paragraph" w:styleId="714">
    <w:name w:val="Основной текст 2"/>
    <w:basedOn w:val="703"/>
    <w:next w:val="714"/>
    <w:link w:val="703"/>
    <w:pPr>
      <w:ind w:right="-2"/>
      <w:jc w:val="both"/>
    </w:pPr>
  </w:style>
  <w:style w:type="paragraph" w:styleId="715">
    <w:name w:val="Основной текст с отступом 2"/>
    <w:basedOn w:val="703"/>
    <w:next w:val="715"/>
    <w:link w:val="703"/>
    <w:pPr>
      <w:ind w:right="-2" w:firstLine="75"/>
      <w:jc w:val="both"/>
    </w:pPr>
  </w:style>
  <w:style w:type="paragraph" w:styleId="716">
    <w:name w:val="Основной текст с отступом 3"/>
    <w:basedOn w:val="703"/>
    <w:next w:val="716"/>
    <w:link w:val="703"/>
    <w:pPr>
      <w:ind w:right="-2" w:firstLine="737"/>
      <w:jc w:val="both"/>
    </w:pPr>
  </w:style>
  <w:style w:type="paragraph" w:styleId="717">
    <w:name w:val="Нижний колонтитул"/>
    <w:basedOn w:val="703"/>
    <w:next w:val="717"/>
    <w:link w:val="730"/>
    <w:uiPriority w:val="99"/>
    <w:pPr>
      <w:tabs>
        <w:tab w:val="center" w:pos="4677" w:leader="none"/>
        <w:tab w:val="right" w:pos="9355" w:leader="none"/>
      </w:tabs>
    </w:pPr>
  </w:style>
  <w:style w:type="character" w:styleId="718">
    <w:name w:val="Заголовок 1 Знак"/>
    <w:next w:val="718"/>
    <w:link w:val="704"/>
    <w:rPr>
      <w:b/>
      <w:sz w:val="18"/>
    </w:rPr>
  </w:style>
  <w:style w:type="paragraph" w:styleId="719">
    <w:name w:val="Текст выноски"/>
    <w:basedOn w:val="703"/>
    <w:next w:val="719"/>
    <w:link w:val="720"/>
    <w:rPr>
      <w:rFonts w:cs="Segoe UI"/>
      <w:sz w:val="24"/>
      <w:szCs w:val="18"/>
    </w:rPr>
  </w:style>
  <w:style w:type="character" w:styleId="720">
    <w:name w:val="Текст выноски Знак"/>
    <w:next w:val="720"/>
    <w:link w:val="719"/>
    <w:rPr>
      <w:rFonts w:cs="Segoe UI"/>
      <w:bCs/>
      <w:color w:val="000000"/>
      <w:sz w:val="24"/>
      <w:szCs w:val="18"/>
    </w:rPr>
  </w:style>
  <w:style w:type="character" w:styleId="721">
    <w:name w:val="Знак примечания"/>
    <w:next w:val="721"/>
    <w:link w:val="703"/>
    <w:rPr>
      <w:sz w:val="16"/>
      <w:szCs w:val="16"/>
    </w:rPr>
  </w:style>
  <w:style w:type="paragraph" w:styleId="722">
    <w:name w:val="Текст примечания"/>
    <w:basedOn w:val="703"/>
    <w:next w:val="722"/>
    <w:link w:val="723"/>
    <w:rPr>
      <w:sz w:val="20"/>
    </w:rPr>
  </w:style>
  <w:style w:type="character" w:styleId="723">
    <w:name w:val="Текст примечания Знак"/>
    <w:next w:val="723"/>
    <w:link w:val="722"/>
    <w:rPr>
      <w:bCs/>
      <w:color w:val="000000"/>
    </w:rPr>
  </w:style>
  <w:style w:type="paragraph" w:styleId="724">
    <w:name w:val="Тема примечания"/>
    <w:basedOn w:val="722"/>
    <w:next w:val="722"/>
    <w:link w:val="725"/>
    <w:rPr>
      <w:b/>
    </w:rPr>
  </w:style>
  <w:style w:type="character" w:styleId="725">
    <w:name w:val="Тема примечания Знак"/>
    <w:next w:val="725"/>
    <w:link w:val="724"/>
    <w:rPr>
      <w:b/>
      <w:bCs/>
      <w:color w:val="000000"/>
    </w:rPr>
  </w:style>
  <w:style w:type="paragraph" w:styleId="726">
    <w:name w:val="Абзац списка"/>
    <w:basedOn w:val="703"/>
    <w:next w:val="726"/>
    <w:link w:val="703"/>
    <w:uiPriority w:val="34"/>
    <w:qFormat/>
    <w:pPr>
      <w:contextualSpacing/>
      <w:ind w:left="720"/>
    </w:pPr>
  </w:style>
  <w:style w:type="paragraph" w:styleId="727">
    <w:name w:val="ConsPlusNormal"/>
    <w:next w:val="727"/>
    <w:link w:val="703"/>
    <w:pPr>
      <w:widowControl w:val="off"/>
    </w:pPr>
    <w:rPr>
      <w:sz w:val="24"/>
      <w:szCs w:val="24"/>
      <w:lang w:val="ru-RU" w:eastAsia="ru-RU" w:bidi="ar-SA"/>
    </w:rPr>
  </w:style>
  <w:style w:type="paragraph" w:styleId="728">
    <w:name w:val="Рецензия"/>
    <w:next w:val="728"/>
    <w:link w:val="703"/>
    <w:hidden/>
    <w:uiPriority w:val="99"/>
    <w:semiHidden/>
    <w:rPr>
      <w:bCs/>
      <w:color w:val="000000"/>
      <w:sz w:val="28"/>
      <w:lang w:val="ru-RU" w:eastAsia="ru-RU" w:bidi="ar-SA"/>
    </w:rPr>
  </w:style>
  <w:style w:type="character" w:styleId="729">
    <w:name w:val="Гиперссылка"/>
    <w:next w:val="729"/>
    <w:link w:val="703"/>
    <w:uiPriority w:val="99"/>
    <w:unhideWhenUsed/>
    <w:rPr>
      <w:color w:val="0000ff"/>
      <w:u w:val="single"/>
    </w:rPr>
  </w:style>
  <w:style w:type="character" w:styleId="730">
    <w:name w:val="Нижний колонтитул Знак"/>
    <w:next w:val="730"/>
    <w:link w:val="717"/>
    <w:uiPriority w:val="99"/>
    <w:rPr>
      <w:bCs/>
      <w:color w:val="000000"/>
      <w:sz w:val="28"/>
    </w:rPr>
  </w:style>
  <w:style w:type="paragraph" w:styleId="731">
    <w:name w:val="Название объекта"/>
    <w:basedOn w:val="703"/>
    <w:next w:val="703"/>
    <w:link w:val="703"/>
    <w:semiHidden/>
    <w:unhideWhenUsed/>
    <w:qFormat/>
    <w:rPr>
      <w:b/>
      <w:sz w:val="20"/>
    </w:rPr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energosbyt</Company>
  <DocSecurity>4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energosbyt</dc:creator>
  <cp:revision>3</cp:revision>
  <dcterms:created xsi:type="dcterms:W3CDTF">2023-04-14T05:53:00Z</dcterms:created>
  <dcterms:modified xsi:type="dcterms:W3CDTF">2025-03-10T04:54:39Z</dcterms:modified>
  <cp:version>1048576</cp:version>
</cp:coreProperties>
</file>