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0"/>
        <w:numPr>
          <w:ilvl w:val="0"/>
          <w:numId w:val="0"/>
        </w:numPr>
        <w:contextualSpacing/>
        <w:jc w:val="center"/>
        <w:spacing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Соглашение об электронном документообороте</w:t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900"/>
        <w:numPr>
          <w:ilvl w:val="0"/>
          <w:numId w:val="0"/>
        </w:numPr>
        <w:contextualSpacing/>
        <w:jc w:val="center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0"/>
        </w:numPr>
        <w:contextualSpacing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hAnsi="Times New Roman" w:cs="Times New Roman"/>
          <w:sz w:val="20"/>
          <w:szCs w:val="20"/>
        </w:rPr>
        <w:t xml:space="preserve">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«___» ____________ 20__ г.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0"/>
        </w:numPr>
        <w:contextualSpacing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0"/>
        </w:numPr>
        <w:ind w:firstLine="567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Общество с ограниченной ответственностью «Энергетическая сбытовая компания Башкортостана» (ООО «ЭСКБ»)</w:t>
      </w:r>
      <w:r>
        <w:rPr>
          <w:rFonts w:ascii="Times New Roman" w:hAnsi="Times New Roman" w:cs="Times New Roman"/>
          <w:sz w:val="20"/>
          <w:szCs w:val="20"/>
        </w:rPr>
        <w:t xml:space="preserve">, именуемое в дальнейшем «</w:t>
      </w:r>
      <w:r>
        <w:rPr>
          <w:rFonts w:ascii="Times New Roman" w:hAnsi="Times New Roman" w:cs="Times New Roman"/>
          <w:sz w:val="20"/>
          <w:szCs w:val="20"/>
        </w:rPr>
        <w:t xml:space="preserve">Гарантирующий поставщик</w:t>
      </w:r>
      <w:r>
        <w:rPr>
          <w:rFonts w:ascii="Times New Roman" w:hAnsi="Times New Roman" w:cs="Times New Roman"/>
          <w:sz w:val="20"/>
          <w:szCs w:val="20"/>
        </w:rPr>
        <w:t xml:space="preserve">», в лице __________________________ (должность, ФИО уполномоченного лица), действующего на основании ___________ (уполномочивающий документ), с одной стороны, и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0"/>
        </w:numPr>
        <w:ind w:firstLine="567"/>
        <w:spacing w:before="0" w:after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 (полное наименование), именуемое в дальнейшем «</w:t>
      </w:r>
      <w:r>
        <w:rPr>
          <w:rFonts w:ascii="Times New Roman" w:hAnsi="Times New Roman" w:cs="Times New Roman"/>
          <w:sz w:val="20"/>
          <w:szCs w:val="20"/>
        </w:rPr>
        <w:t xml:space="preserve">Потребитель</w:t>
      </w:r>
      <w:r>
        <w:rPr>
          <w:rFonts w:ascii="Times New Roman" w:hAnsi="Times New Roman" w:cs="Times New Roman"/>
          <w:sz w:val="20"/>
          <w:szCs w:val="20"/>
        </w:rPr>
        <w:t xml:space="preserve">», в лице 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 (должность, ФИО уполномоченного лица), действующего на основании ___________ (уполномочивающий документ), с другой стороны, совместно именуемые в дальнейшем «Стороны», заключили настоящее соглашение (далее – «Соглашение») о нижеследующем.</w:t>
      </w:r>
      <w:r>
        <w:rPr>
          <w:sz w:val="20"/>
          <w:szCs w:val="20"/>
        </w:rPr>
      </w:r>
    </w:p>
    <w:p>
      <w:pPr>
        <w:pStyle w:val="900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Термины, определения и сокращения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Style w:val="902"/>
          <w:sz w:val="20"/>
          <w:szCs w:val="20"/>
        </w:rPr>
      </w:pPr>
      <w:r>
        <w:rPr>
          <w:rStyle w:val="902"/>
          <w:sz w:val="20"/>
          <w:szCs w:val="20"/>
        </w:rPr>
        <w:t xml:space="preserve">Все термины и определения используются в настоящем Соглашении и при взаимодействии Сторон на основании Соглашения в следующем значении:</w:t>
      </w:r>
      <w:r>
        <w:rPr>
          <w:rStyle w:val="902"/>
          <w:sz w:val="20"/>
          <w:szCs w:val="20"/>
        </w:rPr>
      </w:r>
    </w:p>
    <w:tbl>
      <w:tblPr>
        <w:tblW w:w="101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559"/>
        <w:gridCol w:w="5386"/>
      </w:tblGrid>
      <w:tr>
        <w:tblPrEx/>
        <w:trPr>
          <w:trHeight w:val="90"/>
        </w:trPr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Наименование термина</w:t>
            </w: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Сокращение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Определение термина (расшифровка сокращения)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Аккредитованный удостоверяющий центр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АУЦ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Удостоверяющие центры, получившие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удостоверяющий центр федерального органа исполнительн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и удостоверяющий центр Центрального банка Российской Федерации.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Аккредитованный удостоверяющий центр осуществляет создание и выдачу сертификата ключа проверки электронной подписи*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Перечень АУЦ, для целей приобретения сертификатов КЭП, определяется Обществом из числа аккредитованных центров, представленных в размещенном в сети Интернет актуальном перечне на сайте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Минцифры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 по адресу:  https://digital.gov.ru/ru/activity/govservices/certification_authority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Владелец квалифицированного сертификата ключа проверки электронной подписи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Владелец КЭП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Лицо, которому в установленном действующим законодательством порядке выдан квалифицированный сертификат ключа проверки электронной подписи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Квалифицированная электронная подпись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pStyle w:val="748"/>
              <w:ind w:firstLine="0"/>
              <w:jc w:val="both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Электронная подпись, которая соответствует всем признакам неквалифицированной электронной подписи и следующим дополнительным признакам: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r>
          </w:p>
          <w:p>
            <w:pPr>
              <w:pStyle w:val="748"/>
              <w:ind w:firstLine="0"/>
              <w:jc w:val="both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1) ключ проверки электронной подписи указан в квалифицированном сертификате;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r>
          </w:p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2) 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Федеральным законом № 63-ФЗ «Об электронной подписи»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Квалифицированный сертификат ключа проверки электронной подписи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Сертификат КЭП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Сертификат ключа проверки электронной подписи, соответствующий требованиям, установленным Федеральным законом № 63-ФЗ «Об электронной подписи» и иными принимаемыми в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Ключ проверки электронной подписи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Открытый ключ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Уникальная последовательность символов, которая создается в паре с закрытым ключом электронной подписи с помощью криптографического алгоритма и используется для шифрования данных и проверки подлинности электронной подписи в электронном документе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Ключ электронной подписи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Закрытый ключ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Уникальная последовательность символов, предназначенная для создания электронной подписи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Компрометация ключа электронной подписи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Утрата доверия к тому факту, что используемые закрытые ключи электронной подписи неизвестны посторонним лицам.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Также под компрометацией ключа элек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тронной подписи понимается его утрата, хищение, разглашение, несанкционированное копирование, любые другие виды разглашения закрытого ключа ЭП, а также такие случаи, когда нельзя достоверно установить, что произошло с носителем, содержащим закрытый ключ 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Направляющая Сторона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Гарантирующий поставщик или Потребитель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, направляющ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ий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электронный документ, подписанный ЭП по телекоммуникационным каналам связи другой Стороне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Неформализованный электронный документ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Электронный документ, исполненный в формате, не установленном законодательством РФ или в формате, самостоятельно разработанном Стороной настоящего Соглашения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Оператор электронного документооборота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Оператор ЭДО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Организация, соответствующая установленным действующим законодательством требованиям к оператору электр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онного документооборота и предоставляющая услуги по обмену открытой и конфиденциальной информацией по телекоммуникационным каналам связи в рамках обеспечения электронного документооборота между Компанией и третьими лицами с применением электронных подписей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Первичный учетный документ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Для целей настоящего документа: документ, которым оформляется факт хозяйственной операции для целей отражения в бухгалтерском и налоговом учете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Получающая Сторона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Гарантирующий поставщик или Потребитель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, получающ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ий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от направляющей Стороны электронный документ, подписанный ЭП, по телекоммуникационным каналам связи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Роуминг (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межоператорское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взаимодействие)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Технология, обеспечивающая возможность обмена электронными документами между разными операторами электронного документооборота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Сертификат ключа проверки электронной подписи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Сертификат 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Электронный документ или документ на бумажном носителе, выданные удостоверяющим центром и подтверждающий принадлежность ключа проверки электронной подписи Владельцу сертификата ключа проверки электронной подписи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Система электронного документооборота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СЭД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Совокупность ИТ-решений, разработанных в соответствии с требованиями законодательства РФ и внутренними нормативными документами Группы «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Интер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РАО» на базе АСУД, ТТС ЭА и других смежных корпоративных систем используемых во внешнем и внутреннем ЭДО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5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Уведомление об уточнении документа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jc w:val="center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УОУ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Электронный файл установленного формата, фиксирующий факт несогласия получающей Стороны с полученным электронным документом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1427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Универсальный корректировочный документ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jc w:val="center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Электронный документ, применяемый при подтверждении факта согласования Сторонами соглаше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ния изменения (уведомления продавцом покупателя об изменении) стоимости договора в связи с изменением цены (тарифа) и (или) уточнения количества (объема) поставленных (отгруженных) товаров (выполненных работ, оказанных услуг), переданных имущественных прав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Универсальный передаточный документ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jc w:val="center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pStyle w:val="900"/>
              <w:numPr>
                <w:ilvl w:val="0"/>
                <w:numId w:val="0"/>
              </w:numPr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Электронный документ, применяемый для оформления фактов хозяйственной жизни и/или при расчетах по налогу на добавленную стоимость, формат которого утверждается Федеральной налоговой службой России, который может применяться в одной из следующих функций: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pStyle w:val="900"/>
              <w:numPr>
                <w:ilvl w:val="0"/>
                <w:numId w:val="10"/>
              </w:numPr>
              <w:ind w:left="0" w:firstLine="0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СЧФДОП - Счет-фактура, применяемый при расчетах по налогу на добавленную стоимость, и документ об отгрузке товара, выполнении работ, передаче имущественных прав, документ об оказании услуг;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pStyle w:val="900"/>
              <w:numPr>
                <w:ilvl w:val="0"/>
                <w:numId w:val="10"/>
              </w:numPr>
              <w:ind w:left="0" w:firstLine="0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СЧФ – Счет-фактура, применяемый при расчетах по налогу на добавленную стоимость;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pStyle w:val="900"/>
              <w:numPr>
                <w:ilvl w:val="0"/>
                <w:numId w:val="10"/>
              </w:numPr>
              <w:ind w:left="0" w:firstLine="0"/>
              <w:spacing w:before="0"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ДОП – Документ об отгрузке товара, выполнении работ, передаче имущественных прав, документ об оказании услуг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Формализованный электронный документ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Электронный документ, исполненный в формате, установленном или рекомендованном законодательством РФ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Электронный документ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ЭД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Документированна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Электронный документооборот 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ЭДО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Комплекс автоматизированных процессов, обеспечивающих движение электронных документов с момента их создания и/или получения до завершения их обработки, архивирования и/или уничтожения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246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Электронная подпись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ЭП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386" w:type="dxa"/>
            <w:textDirection w:val="lrTb"/>
            <w:noWrap w:val="false"/>
          </w:tcPr>
          <w:p>
            <w:pPr>
              <w:jc w:val="both"/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применяется для определения лица, подписывающего информацию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</w:tbl>
    <w:p>
      <w:pPr>
        <w:pStyle w:val="905"/>
        <w:numPr>
          <w:ilvl w:val="0"/>
          <w:numId w:val="0"/>
        </w:numPr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</w:r>
      <w:r>
        <w:rPr>
          <w:rFonts w:ascii="Times New Roman" w:hAnsi="Times New Roman"/>
          <w:b w:val="0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Предмет соглашения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Style w:val="902"/>
          <w:sz w:val="20"/>
          <w:szCs w:val="20"/>
        </w:rPr>
      </w:pPr>
      <w:r>
        <w:rPr>
          <w:rStyle w:val="902"/>
          <w:sz w:val="20"/>
          <w:szCs w:val="20"/>
        </w:rPr>
        <w:t xml:space="preserve">Настоящим Соглашением Стороны устанавливают условия и порядок организации обмена электронными документами по телекоммуникационным каналам связи, подписанными КЭП в качестве аналога собственноручной подписи и печати организации.</w:t>
      </w:r>
      <w:r>
        <w:rPr>
          <w:rStyle w:val="902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соглашаются признавать полученные (направленные) в рамках ЭДО электронные документы равнозначными аналогичным документам на бумажных носителях.</w:t>
      </w:r>
      <w:r>
        <w:rPr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Электронные документы, которыми обмениваются Стороны в рамках ЭДО, должны быть подписаны квалифицированной ЭП.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ЭДО осуществляется Сторонами посредством обмена видами электронных документов, указанных в Приложении 1 к Соглашению.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если н</w:t>
      </w:r>
      <w:r>
        <w:rPr>
          <w:rFonts w:ascii="Times New Roman" w:hAnsi="Times New Roman"/>
          <w:sz w:val="20"/>
          <w:szCs w:val="20"/>
        </w:rPr>
        <w:t xml:space="preserve">ормативно-правовые акты, указанные в Приложении 1 Соглашения, будут отменены либо изменены, Стороны обязуются применять форматы формализованных документов, утвержденные действующими на соответствующую дату нормативно-правовыми актами Российской Федерации. 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i/>
          <w:color w:val="c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если вступят в силу нормативно-правовые акты в отношении утверждения форматов документов, указанных в п. Приложении 1 к Соглашению, такие документы должны формироваться с учетом вступивших в силу нормативно-правовых актов.</w:t>
      </w:r>
      <w:r>
        <w:rPr>
          <w:rFonts w:ascii="Times New Roman" w:hAnsi="Times New Roman"/>
          <w:i/>
          <w:color w:val="c00000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Документы, не перечисленные в Приложении 1 к Соглашению, переданные по электронным каналам связи, </w:t>
      </w:r>
      <w:r>
        <w:rPr>
          <w:rFonts w:ascii="Times New Roman" w:hAnsi="Times New Roman"/>
          <w:sz w:val="20"/>
          <w:szCs w:val="20"/>
        </w:rPr>
        <w:t xml:space="preserve">не являются согласованными к переходу на ЭДО, даже если они отвечают всем требованиям, предъявляемым к ЭД и подписаны КЭП. В дальнейшем ни одна из Сторон не вправе ссылаться на указанные документы в качестве подтверждения исполнения ими своих обязательств.</w:t>
      </w:r>
      <w:r>
        <w:rPr>
          <w:rFonts w:ascii="Times New Roman" w:hAnsi="Times New Roman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Общие принципы электронного документооборота и применения электронной подписи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Электронный докуме</w:t>
      </w:r>
      <w:r>
        <w:rPr>
          <w:rFonts w:ascii="Times New Roman" w:hAnsi="Times New Roman"/>
          <w:sz w:val="20"/>
          <w:szCs w:val="20"/>
        </w:rPr>
        <w:t xml:space="preserve">нтооборот Стороны осуществляют в соответствии с нормами законодательства Российской Федерации, условиями настоящего Соглашения и иных соглашений и договоров, заключенных между Сторонами, а также с учетом положений регламентирующих документов Оператора ЭДО.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 выставлении и получении УПД СЧФ / СЧФ ДОП в электронном виде Стороны руководствуются утвержденными нормативно-правовыми актами Российской Федерации, действующими на соответствующую дату.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Квалифицированные сертификаты ключей проверки ЭП АУЦ, ключи ЭП создаются сертифицированными Федеральной службой безопасности Российской Федерации средствами ЭП Сторон или с привлечением АУЦ, выпустившего квалифицированный сертификат ЭП.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Документы формируются, передаются и принимаются Сторонами в электронном виде без их последующего обязательного представления н</w:t>
      </w:r>
      <w:r>
        <w:rPr>
          <w:rFonts w:ascii="Times New Roman" w:hAnsi="Times New Roman"/>
          <w:sz w:val="20"/>
          <w:szCs w:val="20"/>
        </w:rPr>
        <w:t xml:space="preserve">а бумажном носителе. Электронный документооборот является приоритетным способом обмена документами между Сторонами. Обмен документами на бумажных носителях используется Сторонами лишь в случаях, указанных в п. 3.11, 3.20, 5.7 и 6.2.1 настоящего Соглашения.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признают, что ответственность за обеспечение конфиденциальности, целостности и доступности информации с момента передачи электронного документа Оператору ЭДО любой из Сторон несет Оператор ЭДО/Операторы ЭДО.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признают, что использование средств криптографической защиты информации, достаточно для подтверждения того, что:</w:t>
      </w:r>
      <w:r>
        <w:rPr>
          <w:rFonts w:ascii="Times New Roman" w:hAnsi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567"/>
        <w:spacing w:before="0" w:after="0"/>
        <w:tabs>
          <w:tab w:val="clear" w:pos="72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электронный документ исходит от Стороны, его передавшей (подтверждение авторства документа);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567"/>
        <w:spacing w:before="0" w:after="0"/>
        <w:tabs>
          <w:tab w:val="clear" w:pos="72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электронный документ не претерпел изменений при информационном взаимодействии Сторон (подтверждение целостности и подлинности документа) при положительном результате проверки ЭП.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Датой направления электронного документа является дата его поступления Оператору ЭДО направляющей Стороной, указанная в протоколе передачи документа. Электронные докум</w:t>
      </w:r>
      <w:r>
        <w:rPr>
          <w:rFonts w:ascii="Times New Roman" w:hAnsi="Times New Roman"/>
          <w:sz w:val="20"/>
          <w:szCs w:val="20"/>
        </w:rPr>
        <w:t xml:space="preserve">енты, направленные в рамках настоящего Соглашения, считаются полученными принимающей Стороной с даты присвоения им соответствующего статуса в системе Оператора ЭДО, подтверждающего их доставку принимающей Стороне, указанной в протоколе передачи документа.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подписания Стороной </w:t>
      </w:r>
      <w:r>
        <w:rPr>
          <w:rFonts w:ascii="Times New Roman" w:hAnsi="Times New Roman"/>
          <w:color w:val="auto"/>
          <w:sz w:val="20"/>
          <w:szCs w:val="20"/>
        </w:rPr>
        <w:t xml:space="preserve">электронного документа определяется </w:t>
      </w:r>
      <w:r>
        <w:rPr>
          <w:rFonts w:ascii="Times New Roman" w:hAnsi="Times New Roman"/>
          <w:sz w:val="20"/>
          <w:szCs w:val="20"/>
        </w:rPr>
        <w:t xml:space="preserve">на осно</w:t>
      </w:r>
      <w:r>
        <w:rPr>
          <w:rFonts w:ascii="Times New Roman" w:hAnsi="Times New Roman"/>
          <w:sz w:val="20"/>
          <w:szCs w:val="20"/>
        </w:rPr>
        <w:t xml:space="preserve">вании информации, указанной Оператором ЭДО в протоколе передачи документа. В случае отсутствия протокола передачи документа у Оператора ЭДО датой подписания признается дата подписания электронного документа второй Стороной, зафиксированная Оператором ЭДО. </w:t>
      </w:r>
      <w:r>
        <w:rPr>
          <w:rFonts w:ascii="Times New Roman" w:hAnsi="Times New Roman" w:eastAsia="Times New Roman"/>
          <w:color w:val="auto"/>
          <w:sz w:val="20"/>
          <w:szCs w:val="20"/>
        </w:rPr>
        <w:t xml:space="preserve">Стороны 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в нумерации договоров используют регистрационный номер договора, присваиваемый СЭД Группы 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Интер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 РАО.  Регист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рационный номер договора также указывается во всех документах, предусмотренных в рамках исполнения договора. Если каждая из Сторон имеет свои правила формирования номера договора, необходимые для их соблюдения, то допускается применение двойной нумерации (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Гарантирующего поставщика и Потребителя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). В этом случае регистрационный</w:t>
      </w:r>
      <w:r>
        <w:rPr>
          <w:rFonts w:ascii="Times New Roman" w:hAnsi="Times New Roman" w:eastAsia="MS Mincho"/>
          <w:color w:val="auto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номер договора будет определен следующим образом: номер договора контрагента_/регистрационный номер договора компании Группы 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Интер</w:t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 РАО</w:t>
      </w:r>
      <w:r>
        <w:rPr>
          <w:rStyle w:val="775"/>
          <w:rFonts w:ascii="Times New Roman" w:hAnsi="Times New Roman" w:eastAsia="MS Mincho"/>
          <w:color w:val="auto"/>
          <w:sz w:val="20"/>
          <w:szCs w:val="20"/>
        </w:rPr>
        <w:footnoteReference w:id="2"/>
      </w:r>
      <w:r>
        <w:rPr>
          <w:rFonts w:ascii="Times New Roman" w:hAnsi="Times New Roman" w:eastAsia="MS Mincho"/>
          <w:color w:val="auto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обязаны незамедлительно информировать друг друга о невозможности обмена электронными документами, подписанными ЭП, в частности в следующих случаях: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недоступность системы Оператора ЭДО;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поврежденность или недоступность каналов связи;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сбой учетной системы Сторон;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истечение срока действия квалифицированного сертификата ЭП (до момента получения квалифицированного сертификата ЭП с новым сроком действия);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иные случаи, не позволяющие производить обмен электронными документами.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период, когда обмен электронными документами невозможен, Стороны производят обмен документами на бумажных носителях, подписанными уполномоченными представителями Сторон собственноручной подписью.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обязаны незамедлительно информировать друг друга о прекращении обстоятельств, обусловливающих невозможность обмена электронными документами, после чего возобновить обмен электронными документами.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Информирование </w:t>
      </w:r>
      <w:r>
        <w:rPr>
          <w:rFonts w:ascii="Times New Roman" w:hAnsi="Times New Roman"/>
          <w:sz w:val="20"/>
          <w:szCs w:val="20"/>
        </w:rPr>
        <w:t xml:space="preserve">Сторонами о невозможности обмена электронными документами, а также о прекращении обстоятельств, обусловливающих невозможность обмена электронными документами, осуществляется путем направления уведомления на адреса электронной почты, согласованные Сторонами</w:t>
      </w:r>
      <w:r>
        <w:rPr>
          <w:rStyle w:val="775"/>
          <w:rFonts w:ascii="Times New Roman" w:hAnsi="Times New Roman"/>
          <w:sz w:val="20"/>
          <w:szCs w:val="20"/>
        </w:rPr>
        <w:footnoteReference w:id="3"/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если дата составления первичного учетного документа отличается от даты совершения факта хозяйственной жизни, первичный учетный документ должен содержать дату совершения факта хозяйственной жизни.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 обмене электронными документами Стороны обязуются заполнять в соответствующих полях и/или сопровождающих документ метаданных адрес электронной почты получателя</w:t>
      </w:r>
      <w:r>
        <w:rPr>
          <w:rStyle w:val="775"/>
          <w:rFonts w:ascii="Times New Roman" w:hAnsi="Times New Roman"/>
          <w:sz w:val="20"/>
          <w:szCs w:val="20"/>
        </w:rPr>
        <w:footnoteReference w:id="4"/>
      </w:r>
      <w:r>
        <w:rPr>
          <w:rFonts w:ascii="Times New Roman" w:hAnsi="Times New Roman"/>
          <w:sz w:val="20"/>
          <w:szCs w:val="20"/>
        </w:rPr>
        <w:t xml:space="preserve"> документа у Принимающей Стороны, регистрационный номер договора при отправке всех документов, относящихся к конкретному договору, исходя из требований пункта 3.15 настоящего Соглашения.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 оформлении документов через </w:t>
      </w:r>
      <w:r>
        <w:rPr>
          <w:rFonts w:ascii="Times New Roman" w:hAnsi="Times New Roman"/>
          <w:sz w:val="20"/>
          <w:szCs w:val="20"/>
        </w:rPr>
        <w:t xml:space="preserve">web</w:t>
      </w:r>
      <w:r>
        <w:rPr>
          <w:rFonts w:ascii="Times New Roman" w:hAnsi="Times New Roman"/>
          <w:sz w:val="20"/>
          <w:szCs w:val="20"/>
        </w:rPr>
        <w:t xml:space="preserve">-интерфейс </w:t>
      </w:r>
      <w:r>
        <w:rPr>
          <w:rFonts w:ascii="Times New Roman" w:hAnsi="Times New Roman"/>
          <w:sz w:val="20"/>
          <w:szCs w:val="20"/>
        </w:rPr>
        <w:t xml:space="preserve">Контур.Диадок</w:t>
      </w:r>
      <w:r>
        <w:rPr>
          <w:rFonts w:ascii="Times New Roman" w:hAnsi="Times New Roman"/>
          <w:sz w:val="20"/>
          <w:szCs w:val="20"/>
        </w:rPr>
        <w:t xml:space="preserve"> данные поля </w:t>
      </w:r>
      <w:r>
        <w:rPr>
          <w:rFonts w:ascii="Times New Roman" w:hAnsi="Times New Roman"/>
          <w:color w:val="auto"/>
          <w:sz w:val="20"/>
          <w:szCs w:val="20"/>
        </w:rPr>
        <w:t xml:space="preserve">заполняются следующим образом: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10"/>
        <w:numPr>
          <w:ilvl w:val="0"/>
          <w:numId w:val="13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для формализованных документов, а также для неформализованных дополнительных соглашений и ценовых листов данные по договору указываются в поле «основание», 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10"/>
        <w:numPr>
          <w:ilvl w:val="0"/>
          <w:numId w:val="13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для иных неформализованных документов данные по договору указываются в свободном поле для комментариев,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10"/>
        <w:numPr>
          <w:ilvl w:val="0"/>
          <w:numId w:val="13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для всех видов документов адрес электронной почты получателя указывается в свободном поле для комментариев.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При оформлении документов иным способом подход к заполнению данных полей определяется Сторонами дополнительно.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повторного оформления электронного документа или оформления электронного документа на отмененную Сторонами (Стороной) операцию (выставление счета и т.п.) Стороны применяют аннулирование документов, з</w:t>
      </w:r>
      <w:r>
        <w:rPr>
          <w:rFonts w:ascii="Times New Roman" w:hAnsi="Times New Roman"/>
          <w:sz w:val="20"/>
          <w:szCs w:val="20"/>
        </w:rPr>
        <w:t xml:space="preserve">а исключением случаев корректировки или исправления документов, предусмотренных действующим законодательством (например, счетов-фактур). Также процесс аннулирования документов не применяется в случаях изменения, прекращения действия договоров и соглашений.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Процесс аннулирования электронных документов через Оператора ЭДО предполагает следующий порядок действий сторон: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4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принимающая/направляющая Сторона направляет второй Стороне предложение об аннулировании документа с указанием причины аннулирования документа;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если вторая Сторона согласна аннулировать документ и признает документ недействительным, то под соглашением необходима подпись второй Стороны. Когда вторая Сторона подпишет соглашение, аннулируемый документ потеряет юридическую силу.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если вторая Сторона не согласна с предложением об аннулировании, то она имеет право отказать в подписи соглашения. В этом случае электронный документ сохраняет свою юридическую силу.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если у Ст</w:t>
      </w:r>
      <w:r>
        <w:rPr>
          <w:rFonts w:ascii="Times New Roman" w:hAnsi="Times New Roman"/>
          <w:sz w:val="20"/>
          <w:szCs w:val="20"/>
        </w:rPr>
        <w:t xml:space="preserve">орон нет возможности подписать соглашение об аннулировании в электронном виде через Оператора ЭДО, Стороны могут оформить данное соглашение на бумажном носителе в свободной форме, с указанием реквизитов аннулированного документа, причины его аннулирования.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когда электронный документ еще не подписан получающей Стороной, направляющая Сторона может аннулировать электронный документ в одностороннем порядке.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Подтверждение аннулирования/отказ от аннулирования должно осуществляться в срок не более 3 рабочих дней с момента получения второй Стороной предложения на аннулирование.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0"/>
          <w:numId w:val="0"/>
        </w:numPr>
        <w:ind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0"/>
          <w:numId w:val="0"/>
        </w:numPr>
        <w:ind w:firstLine="709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Условия признания электронных документов равнозначными документам на бумажном носителе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Подписанный КЭП электронный документ признаетс</w:t>
      </w:r>
      <w:r>
        <w:rPr>
          <w:rFonts w:ascii="Times New Roman" w:hAnsi="Times New Roman"/>
          <w:sz w:val="20"/>
          <w:szCs w:val="20"/>
        </w:rPr>
        <w:t xml:space="preserve">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квалифицированный сертификат ключа проверки ЭП создан и выдан аккредитованным удостоверяющим центром, аккредитация которого действительна на момент выдачи указанного сертификата;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квалифицированный сертификат дей</w:t>
      </w:r>
      <w:r>
        <w:rPr>
          <w:rFonts w:ascii="Times New Roman" w:hAnsi="Times New Roman"/>
          <w:sz w:val="20"/>
          <w:szCs w:val="20"/>
        </w:rPr>
        <w:t xml:space="preserve">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имеется полож</w:t>
      </w:r>
      <w:r>
        <w:rPr>
          <w:rFonts w:ascii="Times New Roman" w:hAnsi="Times New Roman"/>
          <w:sz w:val="20"/>
          <w:szCs w:val="20"/>
        </w:rPr>
        <w:t xml:space="preserve">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 соблюд</w:t>
      </w:r>
      <w:r>
        <w:rPr>
          <w:rFonts w:ascii="Times New Roman" w:hAnsi="Times New Roman"/>
          <w:sz w:val="20"/>
          <w:szCs w:val="20"/>
        </w:rPr>
        <w:t xml:space="preserve">ении условий, приведенных в п. 4.1 настоящего Соглашения, электронный документ должен приниматься Сторонами к учету и может использоваться в качестве доказательства в судебных разбирательствах, представляться в государственные органы по запросам последних.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Подписание одного электронного документа двумя Сторонами осуществляется путем последовательного подписания данного электронного документа каждой из Сторон.</w:t>
      </w:r>
      <w:r>
        <w:rPr>
          <w:rFonts w:ascii="Times New Roman" w:hAnsi="Times New Roman"/>
          <w:sz w:val="20"/>
          <w:szCs w:val="20"/>
        </w:rPr>
      </w:r>
    </w:p>
    <w:p>
      <w:pPr>
        <w:pStyle w:val="904"/>
        <w:spacing w:line="240" w:lineRule="auto"/>
        <w:tabs>
          <w:tab w:val="left" w:pos="426" w:leader="none"/>
        </w:tabs>
        <w:rPr>
          <w:rStyle w:val="902"/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  <w:r>
        <w:rPr>
          <w:rStyle w:val="902"/>
          <w:color w:val="auto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Взаимодействие с операторами электронного документооборота</w:t>
      </w:r>
      <w:r>
        <w:rPr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Оператором электронного документооборота 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Стороны 1</w:t>
      </w:r>
      <w:r>
        <w:rPr>
          <w:rFonts w:ascii="Liberation Serif" w:hAnsi="Liberation Serif" w:cs="Liberation Serif"/>
          <w:sz w:val="20"/>
          <w:szCs w:val="20"/>
        </w:rPr>
        <w:t xml:space="preserve"> является АО «Производственная фирма «СКБ Контур» программа для ЭВМ «</w:t>
      </w:r>
      <w:r>
        <w:rPr>
          <w:rFonts w:ascii="Liberation Serif" w:hAnsi="Liberation Serif" w:cs="Liberation Serif"/>
          <w:sz w:val="20"/>
          <w:szCs w:val="20"/>
        </w:rPr>
        <w:t xml:space="preserve">Диадок</w:t>
      </w:r>
      <w:r>
        <w:rPr>
          <w:rFonts w:ascii="Liberation Serif" w:hAnsi="Liberation Serif" w:cs="Liberation Serif"/>
          <w:sz w:val="20"/>
          <w:szCs w:val="20"/>
        </w:rPr>
        <w:t xml:space="preserve">». Сторона </w:t>
      </w:r>
      <w:r>
        <w:rPr>
          <w:rFonts w:ascii="Liberation Serif" w:hAnsi="Liberation Serif" w:cs="Liberation Serif"/>
          <w:sz w:val="20"/>
          <w:szCs w:val="20"/>
        </w:rPr>
        <w:t xml:space="preserve">2  самостоятельно</w:t>
      </w:r>
      <w:r>
        <w:rPr>
          <w:rFonts w:ascii="Liberation Serif" w:hAnsi="Liberation Serif" w:cs="Liberation Serif"/>
          <w:sz w:val="20"/>
          <w:szCs w:val="20"/>
        </w:rPr>
        <w:t xml:space="preserve"> выбирает Оператора ЭДО, который должен быть аккредитован ФНС РФ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 начала осуществ</w:t>
      </w:r>
      <w:r>
        <w:rPr>
          <w:rFonts w:ascii="Times New Roman" w:hAnsi="Times New Roman"/>
          <w:sz w:val="20"/>
          <w:szCs w:val="20"/>
        </w:rPr>
        <w:t xml:space="preserve">ления обмена электронными документами, каждая из Сторон обязуется в установленном порядке обеспечить подключение (обеспечить наличие подключения) к системе электронного документооборота Оператора, в том числе заключить соответствующие договоры, оформить и </w:t>
      </w:r>
      <w:r>
        <w:rPr>
          <w:rFonts w:ascii="Times New Roman" w:hAnsi="Times New Roman"/>
          <w:sz w:val="20"/>
          <w:szCs w:val="20"/>
        </w:rPr>
        <w:t xml:space="preserve">представить Оператору заявление об участии в электронном документообороте, получить у Оператора идентификаторы участника обмена, реквизиты доступа и другие необходимые данные, уведомить об этом другую Сторону (с указанием идентификатора участника обмена). 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i/>
          <w:color w:val="c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результатам тестового обмена, проверки работоспособности и/или совместимости своих технических средс</w:t>
      </w:r>
      <w:r>
        <w:rPr>
          <w:rFonts w:ascii="Times New Roman" w:hAnsi="Times New Roman"/>
          <w:sz w:val="20"/>
          <w:szCs w:val="20"/>
        </w:rPr>
        <w:t xml:space="preserve">тв, Стороны подтверждают, факт проведения успешного тестового обмена различными электронными документами, подтверждающего устойчивую работоспособность и/или совместимость технических средств Сторон, в том числе возможность передачи данных в соответствии с </w:t>
      </w:r>
      <w:r>
        <w:rPr>
          <w:rFonts w:ascii="Times New Roman" w:hAnsi="Times New Roman"/>
          <w:sz w:val="20"/>
          <w:szCs w:val="20"/>
        </w:rPr>
        <w:t xml:space="preserve">пп</w:t>
      </w:r>
      <w:r>
        <w:rPr>
          <w:rFonts w:ascii="Times New Roman" w:hAnsi="Times New Roman"/>
          <w:sz w:val="20"/>
          <w:szCs w:val="20"/>
        </w:rPr>
        <w:t xml:space="preserve">. 3.15 - 3.18 настоявшего Соглашения, возможность передачи применяемых форматов.</w:t>
      </w:r>
      <w:r>
        <w:rPr>
          <w:rFonts w:ascii="Times New Roman" w:hAnsi="Times New Roman"/>
          <w:i/>
          <w:color w:val="c00000"/>
          <w:sz w:val="20"/>
          <w:szCs w:val="20"/>
        </w:rPr>
        <w:t xml:space="preserve"> </w:t>
      </w:r>
      <w:r>
        <w:rPr>
          <w:rFonts w:ascii="Times New Roman" w:hAnsi="Times New Roman"/>
          <w:i/>
          <w:color w:val="c00000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Потребитель</w:t>
      </w:r>
      <w:r>
        <w:rPr>
          <w:rFonts w:ascii="Times New Roman" w:hAnsi="Times New Roman"/>
          <w:sz w:val="20"/>
          <w:szCs w:val="20"/>
        </w:rPr>
        <w:t xml:space="preserve"> может использовать услуги Оператора, отличного от указанного в п. 5.1. </w:t>
      </w:r>
      <w:r>
        <w:rPr>
          <w:rFonts w:ascii="Times New Roman" w:hAnsi="Times New Roman"/>
          <w:sz w:val="20"/>
          <w:szCs w:val="20"/>
        </w:rPr>
        <w:br/>
        <w:t xml:space="preserve">В этом случае обмен электронными документами между Сторонами осуществляется с использованием роуминга – технологии, обеспечивающей возможность обмена электронными документами между разными Операторами.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случае, если </w:t>
      </w:r>
      <w:r>
        <w:rPr>
          <w:rFonts w:ascii="Times New Roman" w:hAnsi="Times New Roman"/>
          <w:sz w:val="20"/>
          <w:szCs w:val="20"/>
        </w:rPr>
        <w:t xml:space="preserve">Гарантирующий поставщик</w:t>
      </w:r>
      <w:r>
        <w:rPr>
          <w:rFonts w:ascii="Times New Roman" w:hAnsi="Times New Roman"/>
          <w:sz w:val="20"/>
          <w:szCs w:val="20"/>
        </w:rPr>
        <w:t xml:space="preserve"> пользуется услугами Оператора, отличного от указанного в п. 5.1, то такой Оператор должен соответствовать следующим критериям: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между Оператором </w:t>
      </w:r>
      <w:r>
        <w:rPr>
          <w:rFonts w:ascii="Times New Roman" w:hAnsi="Times New Roman"/>
          <w:sz w:val="20"/>
          <w:szCs w:val="20"/>
        </w:rPr>
        <w:t xml:space="preserve">Гарантирующего поставщика</w:t>
      </w:r>
      <w:r>
        <w:rPr>
          <w:rFonts w:ascii="Times New Roman" w:hAnsi="Times New Roman"/>
          <w:sz w:val="20"/>
          <w:szCs w:val="20"/>
        </w:rPr>
        <w:t xml:space="preserve">, указанным в п. 5.1 настоящего Соглашения, и Оператором </w:t>
      </w:r>
      <w:r>
        <w:rPr>
          <w:rFonts w:ascii="Times New Roman" w:hAnsi="Times New Roman"/>
          <w:sz w:val="20"/>
          <w:szCs w:val="20"/>
        </w:rPr>
        <w:t xml:space="preserve">Потребителя</w:t>
      </w:r>
      <w:r>
        <w:rPr>
          <w:rFonts w:ascii="Times New Roman" w:hAnsi="Times New Roman"/>
          <w:sz w:val="20"/>
          <w:szCs w:val="20"/>
        </w:rPr>
        <w:t xml:space="preserve"> обеспечено </w:t>
      </w:r>
      <w:r>
        <w:rPr>
          <w:rFonts w:ascii="Times New Roman" w:hAnsi="Times New Roman"/>
          <w:sz w:val="20"/>
          <w:szCs w:val="20"/>
        </w:rPr>
        <w:t xml:space="preserve">роуминговое</w:t>
      </w:r>
      <w:r>
        <w:rPr>
          <w:rFonts w:ascii="Times New Roman" w:hAnsi="Times New Roman"/>
          <w:sz w:val="20"/>
          <w:szCs w:val="20"/>
        </w:rPr>
        <w:t xml:space="preserve"> взаимодействие;</w:t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numPr>
          <w:ilvl w:val="0"/>
          <w:numId w:val="12"/>
        </w:numPr>
        <w:ind w:left="0" w:firstLine="709"/>
        <w:spacing w:before="0" w:after="0" w:line="240" w:lineRule="auto"/>
        <w:tabs>
          <w:tab w:val="left" w:pos="709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оператором </w:t>
      </w:r>
      <w:r>
        <w:rPr>
          <w:rFonts w:ascii="Times New Roman" w:hAnsi="Times New Roman"/>
          <w:sz w:val="20"/>
          <w:szCs w:val="20"/>
        </w:rPr>
        <w:t xml:space="preserve">Гарантирующего поставщика</w:t>
      </w:r>
      <w:r>
        <w:rPr>
          <w:rFonts w:ascii="Times New Roman" w:hAnsi="Times New Roman"/>
          <w:sz w:val="20"/>
          <w:szCs w:val="20"/>
        </w:rPr>
        <w:t xml:space="preserve">, указанным в п. 5.1 настоящего Соглашения, и Оператором </w:t>
      </w:r>
      <w:r>
        <w:rPr>
          <w:rFonts w:ascii="Times New Roman" w:hAnsi="Times New Roman"/>
          <w:sz w:val="20"/>
          <w:szCs w:val="20"/>
        </w:rPr>
        <w:t xml:space="preserve">Потребителя</w:t>
      </w:r>
      <w:r>
        <w:rPr>
          <w:rFonts w:ascii="Times New Roman" w:hAnsi="Times New Roman"/>
          <w:sz w:val="20"/>
          <w:szCs w:val="20"/>
        </w:rPr>
        <w:t xml:space="preserve"> подтверждена техническая возможность для приема и передачи всех документов, перечень и форматы которых определены в п. 2.4. настоящего Соглашения.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Потребитель</w:t>
      </w:r>
      <w:r>
        <w:rPr>
          <w:rFonts w:ascii="Times New Roman" w:hAnsi="Times New Roman"/>
          <w:sz w:val="20"/>
          <w:szCs w:val="20"/>
        </w:rPr>
        <w:t xml:space="preserve"> обязуется не позднее </w:t>
      </w:r>
      <w:r>
        <w:rPr>
          <w:rFonts w:ascii="Times New Roman" w:hAnsi="Times New Roman"/>
          <w:sz w:val="20"/>
          <w:szCs w:val="20"/>
        </w:rPr>
        <w:t xml:space="preserve">15 календарных дней после подписания настоящего Соглаше</w:t>
      </w:r>
      <w:r>
        <w:rPr>
          <w:rFonts w:ascii="Times New Roman" w:hAnsi="Times New Roman"/>
          <w:sz w:val="20"/>
          <w:szCs w:val="20"/>
        </w:rPr>
        <w:t xml:space="preserve">ния и в дальнейшем – по мере необходимости, самостоятельно получать в аккредитованном удостоверяющем центре квалифицированные сертификаты ключа проверки ЭП, и обеспечить наличие действующих сертификатов ЭП в течение всего срока действия данного Соглашения.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прекращения </w:t>
      </w:r>
      <w:r>
        <w:rPr>
          <w:rFonts w:ascii="Times New Roman" w:hAnsi="Times New Roman"/>
          <w:sz w:val="20"/>
          <w:szCs w:val="20"/>
        </w:rPr>
        <w:t xml:space="preserve">роумингового</w:t>
      </w:r>
      <w:r>
        <w:rPr>
          <w:rFonts w:ascii="Times New Roman" w:hAnsi="Times New Roman"/>
          <w:sz w:val="20"/>
          <w:szCs w:val="20"/>
        </w:rPr>
        <w:t xml:space="preserve"> взаимодействия между Операт</w:t>
      </w:r>
      <w:r>
        <w:rPr>
          <w:rFonts w:ascii="Times New Roman" w:hAnsi="Times New Roman"/>
          <w:sz w:val="20"/>
          <w:szCs w:val="20"/>
        </w:rPr>
        <w:t xml:space="preserve">орами Сторон, равно как и в случае невозможности обмена электронными документами вследствие прекращения таких отношений, Стороны осуществляют обмен документами на бумажном носителе с подписанием их собственноручной подписью и печатью, при ее необходимости.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i/>
          <w:color w:val="c00000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В случае, если Сторона намеревается сменить Оператора, услугами которого она пользуется </w:t>
      </w:r>
      <w:r>
        <w:rPr>
          <w:rFonts w:ascii="Times New Roman" w:hAnsi="Times New Roman"/>
          <w:sz w:val="20"/>
          <w:szCs w:val="20"/>
        </w:rPr>
        <w:t xml:space="preserve">в рамках настоящего Соглашения, </w:t>
      </w:r>
      <w:r>
        <w:rPr>
          <w:rFonts w:ascii="Times New Roman" w:hAnsi="Times New Roman"/>
          <w:sz w:val="20"/>
          <w:szCs w:val="20"/>
        </w:rPr>
        <w:t xml:space="preserve">такая Сторона обязана не позднее, чем за 15 календарных дней до начала обмена электронными документами посредством нового Оператора предоставить другой Стороне документы и сведения, предусмотренные настоящим Соглашением, а также осуществить тестовый обмен.</w:t>
      </w:r>
      <w:r>
        <w:rPr>
          <w:rFonts w:ascii="Times New Roman" w:hAnsi="Times New Roman"/>
          <w:i/>
          <w:color w:val="c00000"/>
          <w:sz w:val="20"/>
          <w:szCs w:val="20"/>
        </w:rPr>
      </w:r>
    </w:p>
    <w:p>
      <w:pPr>
        <w:pStyle w:val="906"/>
        <w:numPr>
          <w:ilvl w:val="0"/>
          <w:numId w:val="0"/>
        </w:numPr>
        <w:ind w:left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i/>
          <w:color w:val="c00000"/>
          <w:sz w:val="20"/>
          <w:szCs w:val="20"/>
        </w:rPr>
      </w:pPr>
      <w:r>
        <w:rPr>
          <w:rFonts w:ascii="Times New Roman" w:hAnsi="Times New Roman"/>
          <w:i/>
          <w:color w:val="c00000"/>
          <w:sz w:val="20"/>
          <w:szCs w:val="20"/>
        </w:rPr>
      </w:r>
      <w:r>
        <w:rPr>
          <w:rFonts w:ascii="Times New Roman" w:hAnsi="Times New Roman"/>
          <w:i/>
          <w:color w:val="c00000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Права и обязанности сторон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обязуются: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Обеспечить укомплектованность необходимыми программно-техническими средствами для организации работы с электронными документами, включая создание, изменение и обработку, а также обеспечить взаимодействие с системой Оператора ЭДО. 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Назначить лиц, ответственных за работу с программно-техническими средствами в соответствии с п. 6.1.1, а также организовать внутренний режим функционирования ра</w:t>
      </w:r>
      <w:r>
        <w:rPr>
          <w:rFonts w:ascii="Times New Roman" w:hAnsi="Times New Roman"/>
          <w:sz w:val="20"/>
          <w:szCs w:val="20"/>
        </w:rPr>
        <w:t xml:space="preserve">бочих мест ответственных лиц таким образом, чтобы исключить возможность взаимодействия с системой Оператора ЭДО лицами, не имеющими допуска к работе с ней, а также исключить возможность использования ключей ЭП и средств ЭП не уполномоченными на это лицами.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Своевременно производить плановый выпуск ключей ЭП и соответствующих квалифицированных сертификатов ключей проверки ЭП, а также машиночитаемых доверенностей, выпускаемых к КЭП физического лица, уполномоченного Стороной.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Принимать на себя все риски, связанные с работоспособностью своего оборудования и каналов связи.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 предпринимать действий, способных нанести ущерб другой Стороне вследствие использования ЭДО.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Обмениваться электронными документами, не содержащими компьютерных вирусов и (или) иных вредоносных программ.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вправе: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возникновения обстоятельств непреодолимой силы, повлекших нарушение установленного настоящим Соглашением порядка выставления </w:t>
      </w:r>
      <w:r>
        <w:rPr>
          <w:rFonts w:ascii="Times New Roman" w:hAnsi="Times New Roman"/>
          <w:sz w:val="20"/>
          <w:szCs w:val="20"/>
        </w:rPr>
        <w:t xml:space="preserve">документов в электронном виде, использовать бумажный документооборот, при этом исполнение обязательств и оплата производится в порядке и сроки, установленные соответствующим договором, в рамках исполнения которого происходит обмен электронными документами.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Ограничивать и приостанавливать исп</w:t>
      </w:r>
      <w:r>
        <w:rPr>
          <w:rFonts w:ascii="Times New Roman" w:hAnsi="Times New Roman"/>
          <w:sz w:val="20"/>
          <w:szCs w:val="20"/>
        </w:rPr>
        <w:t xml:space="preserve">ользование ЭДО в случаях ненадлежащего исполнения другой Стороной Соглашения с уведомлением не позднее дня приостановления и по требованию компетентных государственных органов – в случаях и в порядке, предусмотренных законодательством Российской Федерации.</w:t>
      </w:r>
      <w:r>
        <w:rPr>
          <w:rFonts w:ascii="Times New Roman" w:hAnsi="Times New Roman"/>
          <w:sz w:val="20"/>
          <w:szCs w:val="20"/>
        </w:rPr>
      </w:r>
    </w:p>
    <w:p>
      <w:pPr>
        <w:pStyle w:val="908"/>
        <w:numPr>
          <w:ilvl w:val="2"/>
          <w:numId w:val="9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Остановить работу Системы ЭДО по техническим причинам до восстановления ее работоспособности.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908"/>
        <w:numPr>
          <w:ilvl w:val="0"/>
          <w:numId w:val="0"/>
        </w:numPr>
        <w:ind w:firstLine="709"/>
        <w:spacing w:before="0" w:after="0" w:line="240" w:lineRule="auto"/>
        <w:tabs>
          <w:tab w:val="left" w:pos="1276" w:leader="none"/>
        </w:tabs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Ответственность сторон и риски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несут ответственность за содержание любого электронного документа, подписанного КЭП,</w:t>
      </w:r>
      <w:r>
        <w:rPr>
          <w:rFonts w:ascii="Times New Roman" w:hAnsi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 условии подтверждения подлинности КЭП в соответствии с разделом 4 Соглашения.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несут ответственность за конфиденциальность и порядок использования ключей ЭП.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Сторона, допустившая компрометацию ключа ЭП, несет ответственность за электронные документы, подписа</w:t>
      </w:r>
      <w:r>
        <w:rPr>
          <w:rFonts w:ascii="Times New Roman" w:hAnsi="Times New Roman"/>
          <w:sz w:val="20"/>
          <w:szCs w:val="20"/>
        </w:rPr>
        <w:t xml:space="preserve">нные с использованием скомпрометированного ключа ЭП, до момента официального уведомления об аннулировании (отзыве) соответствующего квалифицированного сертификата ЭП и конкретных документов, подписанных указанным ключом ЭП. Уполномоченное лицо каждой из Ст</w:t>
      </w:r>
      <w:r>
        <w:rPr>
          <w:rFonts w:ascii="Times New Roman" w:hAnsi="Times New Roman"/>
          <w:sz w:val="20"/>
          <w:szCs w:val="20"/>
        </w:rPr>
        <w:t xml:space="preserve">орон, наделенное правами использования ЭП, несет полную ответственность за любые действия, совершаемые с использованием ЭП, включая действия, совершаемые другими лицами, если ключ ЭП стал доступен другим лицам по вине уполномоченного лица каждой из Сторон.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Сторона, несвоевременно сообщившая о случаях утраты или компрометации ключа ЭП, несет связанные с этим риски.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Стороны могут быть освобождены от ответственности за неисполнение своих обязательств по Соглашению при наступлении обстоятельств непреодолимой силы, под которыми подразумеваются внешние, чрезвычайные и </w:t>
      </w:r>
      <w:r>
        <w:rPr>
          <w:rFonts w:ascii="Times New Roman" w:hAnsi="Times New Roman"/>
          <w:sz w:val="20"/>
          <w:szCs w:val="20"/>
        </w:rPr>
        <w:t xml:space="preserve">непредотвратимые при данных обстоятельствах события, которые не существовали во время подписания Соглашения и возникли помимо воли Сторон.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Сторона, подвергшаяся действию обстоятельств непрео</w:t>
      </w:r>
      <w:r>
        <w:rPr>
          <w:rFonts w:ascii="Times New Roman" w:hAnsi="Times New Roman"/>
          <w:sz w:val="20"/>
          <w:szCs w:val="20"/>
        </w:rPr>
        <w:t xml:space="preserve">долимой силы, должна в течение </w:t>
      </w:r>
      <w:r>
        <w:rPr>
          <w:rFonts w:ascii="Times New Roman" w:hAnsi="Times New Roman"/>
          <w:sz w:val="20"/>
          <w:szCs w:val="20"/>
        </w:rPr>
        <w:t xml:space="preserve">5 (пяти) календарных дней уведомить другую Сторону о возникновении и возможной продолжительности действия обстоятельств непреодолимой силы. Сторона, своевременно не сообщившая о наступлении вышеупомянутых обстоятельств, лишается права ссылаться на них.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Факт возникновения обстоятельств непреодолимой силы должен быть документально подтвержден компетентным органом.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невозможности полного или ч</w:t>
      </w:r>
      <w:r>
        <w:rPr>
          <w:rFonts w:ascii="Times New Roman" w:hAnsi="Times New Roman"/>
          <w:sz w:val="20"/>
          <w:szCs w:val="20"/>
        </w:rPr>
        <w:t xml:space="preserve">астичного исполнения обязательств вследствие действия обстоятельств непреодолимой силы, фактическая или возможная продолжительность которых составит один месяц или более, Сторона, исполнение обязательств которой не затронуто действием непреодолимой силы, б</w:t>
      </w:r>
      <w:r>
        <w:rPr>
          <w:rFonts w:ascii="Times New Roman" w:hAnsi="Times New Roman"/>
          <w:sz w:val="20"/>
          <w:szCs w:val="20"/>
        </w:rPr>
        <w:t xml:space="preserve">удет иметь право расторгнуть Соглашение полностью или частично без обязательств по возмещению убытков, связанных с его расторжением. Стороны несут ответственность по настоящему Соглашению в соответствии с действующим законодательством Российской Федерации.</w:t>
      </w:r>
      <w:r>
        <w:rPr>
          <w:rFonts w:ascii="Times New Roman" w:hAnsi="Times New Roman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Действие соглашения и его прекращение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Настоящее Соглашение вступает в силу с даты его подписания либо с даты начала действия соответствующего договора(</w:t>
      </w:r>
      <w:r>
        <w:rPr>
          <w:rFonts w:ascii="Liberation Serif" w:hAnsi="Liberation Serif" w:cs="Liberation Serif"/>
          <w:sz w:val="20"/>
          <w:szCs w:val="20"/>
        </w:rPr>
        <w:t xml:space="preserve">ов</w:t>
      </w:r>
      <w:r>
        <w:rPr>
          <w:rFonts w:ascii="Liberation Serif" w:hAnsi="Liberation Serif" w:cs="Liberation Serif"/>
          <w:sz w:val="20"/>
          <w:szCs w:val="20"/>
        </w:rPr>
        <w:t xml:space="preserve">), в рамках исполнения которого(</w:t>
      </w:r>
      <w:r>
        <w:rPr>
          <w:rFonts w:ascii="Liberation Serif" w:hAnsi="Liberation Serif" w:cs="Liberation Serif"/>
          <w:sz w:val="20"/>
          <w:szCs w:val="20"/>
        </w:rPr>
        <w:t xml:space="preserve">ых</w:t>
      </w:r>
      <w:r>
        <w:rPr>
          <w:rFonts w:ascii="Liberation Serif" w:hAnsi="Liberation Serif" w:cs="Liberation Serif"/>
          <w:sz w:val="20"/>
          <w:szCs w:val="20"/>
        </w:rPr>
        <w:t xml:space="preserve">) происходит обмен электронными документами и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действует до полного прекращения обязательств по такому(им) договору(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ам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).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Настоящее Соглашение составлено и подписано в 2 (двух) подлинных идентичных экземплярах собственноручно или с использованием квалифицированной электронной подписи, имеющих одинаковую юридическую силу, – по одному для каждой из Сторон.</w:t>
      </w:r>
      <w:r>
        <w:rPr>
          <w:rFonts w:ascii="Times New Roman" w:hAnsi="Times New Roman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При отсутствии уведомления о расторжении Соглашения от одной из Сторон, направленного д</w:t>
      </w:r>
      <w:r>
        <w:rPr>
          <w:rFonts w:ascii="Times New Roman" w:hAnsi="Times New Roman"/>
          <w:color w:val="auto"/>
          <w:sz w:val="20"/>
          <w:szCs w:val="20"/>
        </w:rPr>
        <w:t xml:space="preserve">ругой Стороне не менее, чем за </w:t>
      </w:r>
      <w:r>
        <w:rPr>
          <w:rFonts w:ascii="Times New Roman" w:hAnsi="Times New Roman"/>
          <w:color w:val="auto"/>
          <w:sz w:val="20"/>
          <w:szCs w:val="20"/>
        </w:rPr>
        <w:t xml:space="preserve">30 (тридцать) календарных дней до окончания срока его действия, его действие автоматически продлевается на каждый следующий календарный год. Количество продлений Соглашения возможно неограниченное количество раз.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06"/>
        <w:numPr>
          <w:ilvl w:val="1"/>
          <w:numId w:val="9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Любая из Сторон имеет право в одностороннем внесудебном порядке отказаться от исполнения настоящего Соглашения, уведомив об это</w:t>
      </w:r>
      <w:r>
        <w:rPr>
          <w:rFonts w:ascii="Times New Roman" w:hAnsi="Times New Roman"/>
          <w:color w:val="auto"/>
          <w:sz w:val="20"/>
          <w:szCs w:val="20"/>
        </w:rPr>
        <w:t xml:space="preserve">м другую Сторону не менее, чем за 1 (один) календарный месяц</w:t>
      </w:r>
      <w:r>
        <w:rPr>
          <w:rFonts w:ascii="Times New Roman" w:hAnsi="Times New Roman"/>
          <w:color w:val="auto"/>
          <w:sz w:val="20"/>
          <w:szCs w:val="20"/>
        </w:rPr>
        <w:t xml:space="preserve"> до даты расторжения Соглашения в соответствии с порядком обмена документами, установленным настоящим Соглашением.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05"/>
        <w:numPr>
          <w:ilvl w:val="0"/>
          <w:numId w:val="0"/>
        </w:numPr>
        <w:ind w:firstLine="567"/>
        <w:tabs>
          <w:tab w:val="left" w:pos="993" w:leader="none"/>
          <w:tab w:val="left" w:pos="1276" w:leader="none"/>
        </w:tabs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</w:r>
      <w:r>
        <w:rPr>
          <w:rFonts w:ascii="Times New Roman" w:hAnsi="Times New Roman"/>
          <w:b w:val="0"/>
          <w:sz w:val="20"/>
          <w:szCs w:val="20"/>
        </w:rPr>
      </w:r>
    </w:p>
    <w:p>
      <w:pPr>
        <w:pStyle w:val="905"/>
        <w:numPr>
          <w:ilvl w:val="0"/>
          <w:numId w:val="9"/>
        </w:num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Реквизиты и подписи сторон</w:t>
      </w:r>
      <w:r>
        <w:rPr>
          <w:rFonts w:ascii="Times New Roman" w:hAnsi="Times New Roman"/>
          <w:sz w:val="20"/>
          <w:szCs w:val="20"/>
        </w:rPr>
      </w:r>
    </w:p>
    <w:tbl>
      <w:tblPr>
        <w:tblStyle w:val="749"/>
        <w:tblW w:w="18689" w:type="dxa"/>
        <w:tblLook w:val="04A0" w:firstRow="1" w:lastRow="0" w:firstColumn="1" w:lastColumn="0" w:noHBand="0" w:noVBand="1"/>
      </w:tblPr>
      <w:tblGrid>
        <w:gridCol w:w="4728"/>
        <w:gridCol w:w="5016"/>
        <w:gridCol w:w="4472"/>
        <w:gridCol w:w="447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Юр. адрес: 450022, г. Уфа, ул. Менделеева, д. 132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Почт. адрес: 450022, г. Уфа, ул. Менделеева, д. 132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Электронная почта </w:t>
            </w:r>
            <w:hyperlink r:id="rId12" w:tooltip="mailto:office@bashesk.ru" w:history="1">
              <w:r>
                <w:rPr>
                  <w:rStyle w:val="747"/>
                  <w:rFonts w:ascii="Liberation Serif" w:hAnsi="Liberation Serif" w:cs="Liberation Serif"/>
                  <w:sz w:val="20"/>
                  <w:lang w:val="en-US"/>
                </w:rPr>
                <w:t xml:space="preserve">office</w:t>
              </w:r>
              <w:r>
                <w:rPr>
                  <w:rStyle w:val="747"/>
                  <w:rFonts w:ascii="Liberation Serif" w:hAnsi="Liberation Serif" w:cs="Liberation Serif"/>
                  <w:sz w:val="20"/>
                </w:rPr>
                <w:t xml:space="preserve">@bashesk.ru</w:t>
              </w:r>
            </w:hyperlink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Телефон (факс) 8 (347) 291-63-63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Телефон 8 (347) 295-38-38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Официальный сайт </w:t>
            </w:r>
            <w:hyperlink r:id="rId13" w:tooltip="http://www.bashesk.ru" w:history="1">
              <w:r>
                <w:rPr>
                  <w:rStyle w:val="747"/>
                  <w:rFonts w:ascii="Liberation Serif" w:hAnsi="Liberation Serif" w:cs="Liberation Serif"/>
                  <w:sz w:val="20"/>
                </w:rPr>
                <w:t xml:space="preserve">www.bashesk.ru</w:t>
              </w:r>
            </w:hyperlink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ИНН 0275038496 КПП 997650001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РС 40702810700000039330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Банк ГПБ (АО)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БИК 044525823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КС 30101810200000000823 в ГУ Банка России по ЦФО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ОГРН 1020202770642,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ОКПО 20833216, ОКАТО 80401380000, ОКВЭД 35.14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 xml:space="preserve">Потребитель</w:t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/>
            <w:sdt>
              <w:sdtPr>
                <w:alias w:val="Организация"/>
                <w15:appearance w15:val="boundingBox"/>
                <w:id w:val="-990720628"/>
                <w:placeholder>
                  <w:docPart w:val="2CB28B7B01834FAE8E667570EB3ECED1"/>
                </w:placeholder>
                <w:rPr>
                  <w:rFonts w:ascii="Liberation Serif" w:hAnsi="Liberation Serif" w:cs="Liberation Serif"/>
                  <w:b/>
                  <w:sz w:val="20"/>
                </w:rPr>
              </w:sdtPr>
              <w:sdtContent>
                <w:r>
                  <w:rPr>
                    <w:rFonts w:ascii="Liberation Serif" w:hAnsi="Liberation Serif" w:cs="Liberation Serif"/>
                    <w:b/>
                    <w:sz w:val="20"/>
                  </w:rPr>
                  <w:t xml:space="preserve">________________________________________________</w:t>
                </w:r>
              </w:sdtContent>
            </w:sdt>
            <w:r/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Юридический адрес 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Почтовый адрес 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Электронная почта_ 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Телефон (факс) ____________________________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Телефон __________________________________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Мобильный телефон 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Официальный сайт 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ИНН/КПП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РС   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в ________________________________________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КС ______________________________________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БИК _____________________________________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ОГРН                                       ОКВЭД 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pStyle w:val="912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Style w:val="912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lang w:eastAsia="ru-RU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___________________/_________________________/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           подпись                     ФИО руководителя</w:t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 xml:space="preserve">Потребитель</w:t>
            </w:r>
            <w:r>
              <w:rPr>
                <w:rFonts w:ascii="Liberation Serif" w:hAnsi="Liberation Serif" w:cs="Liberation Serif"/>
                <w:b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___________________/_______________________/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подпись                          ФИО руководителя</w:t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pStyle w:val="912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Style w:val="912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</w:p>
        </w:tc>
      </w:tr>
    </w:tbl>
    <w:p>
      <w:pPr>
        <w:ind w:left="6096"/>
        <w:jc w:val="right"/>
        <w:tabs>
          <w:tab w:val="left" w:pos="6521" w:leader="none"/>
        </w:tabs>
        <w:rPr>
          <w:rStyle w:val="903"/>
        </w:rPr>
      </w:pPr>
      <w:r>
        <w:rPr>
          <w:rStyle w:val="903"/>
        </w:rPr>
        <w:br w:type="page" w:clear="all"/>
      </w:r>
      <w:r>
        <w:rPr>
          <w:rStyle w:val="903"/>
        </w:rPr>
      </w:r>
    </w:p>
    <w:p>
      <w:pPr>
        <w:ind w:left="6095"/>
        <w:jc w:val="right"/>
        <w:spacing w:after="0" w:line="240" w:lineRule="auto"/>
        <w:tabs>
          <w:tab w:val="left" w:pos="6521" w:leader="none"/>
        </w:tabs>
        <w:rPr>
          <w:rStyle w:val="903"/>
          <w:b/>
        </w:rPr>
      </w:pPr>
      <w:r>
        <w:rPr>
          <w:rStyle w:val="903"/>
          <w:b/>
        </w:rPr>
        <w:t xml:space="preserve">Приложение 1 к Соглашению</w:t>
      </w:r>
      <w:r>
        <w:rPr>
          <w:rStyle w:val="903"/>
          <w:b/>
        </w:rPr>
      </w:r>
    </w:p>
    <w:p>
      <w:pPr>
        <w:ind w:left="6095"/>
        <w:jc w:val="right"/>
        <w:spacing w:after="0" w:line="240" w:lineRule="auto"/>
        <w:tabs>
          <w:tab w:val="left" w:pos="6521" w:leader="none"/>
        </w:tabs>
        <w:rPr>
          <w:rStyle w:val="903"/>
          <w:b/>
        </w:rPr>
      </w:pPr>
      <w:r>
        <w:rPr>
          <w:rStyle w:val="903"/>
          <w:b/>
        </w:rPr>
        <w:t xml:space="preserve">об электронном документообороте</w:t>
      </w:r>
      <w:r>
        <w:rPr>
          <w:rStyle w:val="903"/>
          <w:b/>
        </w:rPr>
      </w:r>
    </w:p>
    <w:p>
      <w:pPr>
        <w:rPr>
          <w:rStyle w:val="903"/>
        </w:rPr>
      </w:pPr>
      <w:r>
        <w:rPr>
          <w:rStyle w:val="903"/>
        </w:rPr>
        <w:t xml:space="preserve"> </w:t>
      </w:r>
      <w:r>
        <w:rPr>
          <w:rStyle w:val="903"/>
        </w:rPr>
      </w:r>
    </w:p>
    <w:p>
      <w:pPr>
        <w:jc w:val="center"/>
        <w:rPr>
          <w:rStyle w:val="903"/>
        </w:rPr>
      </w:pPr>
      <w:r>
        <w:rPr>
          <w:rStyle w:val="903"/>
        </w:rPr>
        <w:t xml:space="preserve">Перечень документов, включаемых в состав ЭДО</w:t>
      </w:r>
      <w:r>
        <w:rPr>
          <w:rStyle w:val="903"/>
        </w:rPr>
      </w:r>
    </w:p>
    <w:tbl>
      <w:tblPr>
        <w:tblStyle w:val="749"/>
        <w:tblW w:w="0" w:type="auto"/>
        <w:tblLook w:val="04A0" w:firstRow="1" w:lastRow="0" w:firstColumn="1" w:lastColumn="0" w:noHBand="0" w:noVBand="1"/>
      </w:tblPr>
      <w:tblGrid>
        <w:gridCol w:w="576"/>
        <w:gridCol w:w="4522"/>
        <w:gridCol w:w="4678"/>
      </w:tblGrid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6" w:type="dxa"/>
            <w:textDirection w:val="lrTb"/>
            <w:noWrap w:val="false"/>
          </w:tcPr>
          <w:p>
            <w:pPr>
              <w:jc w:val="center"/>
              <w:rPr>
                <w:rStyle w:val="903"/>
              </w:rPr>
            </w:pPr>
            <w:r>
              <w:rPr>
                <w:rStyle w:val="903"/>
              </w:rPr>
              <w:t xml:space="preserve">Формализованные документы</w:t>
            </w:r>
            <w:r>
              <w:rPr>
                <w:rStyle w:val="90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1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Документ об отгрузке товаров (выполнении работ), передаче имущественных прав (документ об оказании услуг), в т. ч. исправленный, в электронной форме, в формате XML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2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Счет-фактура, в т. ч. исправленный, в электронной форме, в формате XML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3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Документ об изменении стоимости отгруженных товаров (выполненных работ, оказанных услуг), переданных имущественных прав, в электронной форме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>
          <w:trHeight w:val="7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4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Корректировочный счет-фактура, в т. ч. исправленный, в электронной форме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5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Документ об изменении стоимости отгруженных товаров (выполненных работ, оказанных услуг), переданных имущественных прав, включающий в себя корректировочный счет-фактуру, в электронной форме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6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Корректировочный счет-фактура и/или документ, подтверждающего согласие (факт уведомления) покупателя на изменение стоимости отгруженных товаров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7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Документ по приемке товарно-материальных ценностей и выявленных расхождений, в электронной форме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27.08.2019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 ММВ-7-15/423@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Style w:val="903"/>
              </w:rPr>
            </w:pPr>
            <w:r>
              <w:rPr>
                <w:rStyle w:val="903"/>
              </w:rPr>
              <w:t xml:space="preserve">8</w:t>
            </w:r>
            <w:r>
              <w:rPr>
                <w:rStyle w:val="90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Универсальный корректировочный документ (УКД) в формате XML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Универсальный передаточный документ (УПД)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электронной форме, в формате XML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Уведомление об уточнении электронного документа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/>
            <w:bookmarkStart w:id="0" w:name="_GoBack"/>
            <w:r>
              <w:rPr>
                <w:rFonts w:ascii="Times New Roman" w:hAnsi="Times New Roman"/>
                <w:sz w:val="20"/>
                <w:szCs w:val="20"/>
              </w:rPr>
              <w:t xml:space="preserve">Приказ ФНС России от 30.01.2012 № ММВ-7-6/36@</w:t>
            </w:r>
            <w:bookmarkEnd w:id="0"/>
            <w:r/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910"/>
        <w:spacing w:before="0" w:after="0" w:line="240" w:lineRule="auto"/>
        <w:tabs>
          <w:tab w:val="left" w:pos="3821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</w:r>
    </w:p>
    <w:p>
      <w:pPr>
        <w:pStyle w:val="910"/>
        <w:spacing w:before="0" w:after="0" w:line="240" w:lineRule="auto"/>
        <w:tabs>
          <w:tab w:val="left" w:pos="3821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Style w:val="749"/>
        <w:tblW w:w="0" w:type="auto"/>
        <w:tblLook w:val="04A0" w:firstRow="1" w:lastRow="0" w:firstColumn="1" w:lastColumn="0" w:noHBand="0" w:noVBand="1"/>
      </w:tblPr>
      <w:tblGrid>
        <w:gridCol w:w="5098"/>
        <w:gridCol w:w="4678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Неформализованные документы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документа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Применяемый вид ЭП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Счета на оплату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Акты-сверки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Договоры энергоснабжения и купли-продажи электрической энергии (мощности) (с приложения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ми), дополнительные соглашения,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контракты к договорам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иные документы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направляемые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рамках исполнения договоров.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Документы, сопровождающие формализованные электронные документы, в том числе приложения к ним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910"/>
        <w:spacing w:before="0" w:after="0" w:line="240" w:lineRule="auto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color w:val="0d0d0d" w:themeColor="text1" w:themeTint="F2"/>
          <w:sz w:val="20"/>
          <w:szCs w:val="20"/>
        </w:rPr>
        <w:t xml:space="preserve">Обмен неформализованными документами осуществляется </w:t>
      </w:r>
      <w:r>
        <w:rPr>
          <w:rFonts w:ascii="Times New Roman" w:hAnsi="Times New Roman"/>
          <w:color w:val="auto"/>
          <w:sz w:val="20"/>
          <w:szCs w:val="20"/>
        </w:rPr>
        <w:t xml:space="preserve">в следующих форматах: </w:t>
      </w: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Microsoft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Word</w:t>
      </w:r>
      <w:r>
        <w:rPr>
          <w:rFonts w:ascii="Times New Roman" w:hAnsi="Times New Roman" w:cs="Times New Roman"/>
          <w:sz w:val="20"/>
          <w:szCs w:val="20"/>
        </w:rPr>
        <w:t xml:space="preserve"> 97-2010 (.</w:t>
      </w:r>
      <w:r>
        <w:rPr>
          <w:rFonts w:ascii="Times New Roman" w:hAnsi="Times New Roman" w:cs="Times New Roman"/>
          <w:sz w:val="20"/>
          <w:szCs w:val="20"/>
        </w:rPr>
        <w:t xml:space="preserve">doc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Microsoft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Excel</w:t>
      </w:r>
      <w:r>
        <w:rPr>
          <w:rFonts w:ascii="Times New Roman" w:hAnsi="Times New Roman" w:cs="Times New Roman"/>
          <w:sz w:val="20"/>
          <w:szCs w:val="20"/>
        </w:rPr>
        <w:t xml:space="preserve"> 97-2010 (.</w:t>
      </w:r>
      <w:r>
        <w:rPr>
          <w:rFonts w:ascii="Times New Roman" w:hAnsi="Times New Roman" w:cs="Times New Roman"/>
          <w:sz w:val="20"/>
          <w:szCs w:val="20"/>
        </w:rPr>
        <w:t xml:space="preserve">xls</w:t>
      </w:r>
      <w:r>
        <w:rPr>
          <w:rFonts w:ascii="Times New Roman" w:hAnsi="Times New Roman" w:cs="Times New Roman"/>
          <w:sz w:val="20"/>
          <w:szCs w:val="20"/>
        </w:rPr>
        <w:t xml:space="preserve">);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Office Open XML (.docx,.xlsx);</w:t>
      </w:r>
      <w:r>
        <w:rPr>
          <w:rFonts w:ascii="Times New Roman" w:hAnsi="Times New Roman" w:cs="Times New Roman"/>
          <w:sz w:val="20"/>
          <w:szCs w:val="20"/>
          <w:lang w:val="en-US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Joint Photographic Experts Group (.jpeg,.jfif,.jpg);</w:t>
      </w:r>
      <w:r>
        <w:rPr>
          <w:rFonts w:ascii="Times New Roman" w:hAnsi="Times New Roman" w:cs="Times New Roman"/>
          <w:sz w:val="20"/>
          <w:szCs w:val="20"/>
          <w:lang w:val="en-US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Text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Format</w:t>
      </w:r>
      <w:r>
        <w:rPr>
          <w:rFonts w:ascii="Times New Roman" w:hAnsi="Times New Roman" w:cs="Times New Roman"/>
          <w:sz w:val="20"/>
          <w:szCs w:val="20"/>
        </w:rPr>
        <w:t xml:space="preserve"> (.</w:t>
      </w:r>
      <w:r>
        <w:rPr>
          <w:rFonts w:ascii="Times New Roman" w:hAnsi="Times New Roman" w:cs="Times New Roman"/>
          <w:sz w:val="20"/>
          <w:szCs w:val="20"/>
        </w:rPr>
        <w:t xml:space="preserve">rtf</w:t>
      </w:r>
      <w:r>
        <w:rPr>
          <w:rFonts w:ascii="Times New Roman" w:hAnsi="Times New Roman" w:cs="Times New Roman"/>
          <w:sz w:val="20"/>
          <w:szCs w:val="20"/>
        </w:rPr>
        <w:t xml:space="preserve">);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Portable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Document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Format</w:t>
      </w:r>
      <w:r>
        <w:rPr>
          <w:rFonts w:ascii="Times New Roman" w:hAnsi="Times New Roman" w:cs="Times New Roman"/>
          <w:sz w:val="20"/>
          <w:szCs w:val="20"/>
        </w:rPr>
        <w:t xml:space="preserve"> (.</w:t>
      </w:r>
      <w:r>
        <w:rPr>
          <w:rFonts w:ascii="Times New Roman" w:hAnsi="Times New Roman" w:cs="Times New Roman"/>
          <w:sz w:val="20"/>
          <w:szCs w:val="20"/>
        </w:rPr>
        <w:t xml:space="preserve">pdf</w:t>
      </w:r>
      <w:r>
        <w:rPr>
          <w:rFonts w:ascii="Times New Roman" w:hAnsi="Times New Roman" w:cs="Times New Roman"/>
          <w:sz w:val="20"/>
          <w:szCs w:val="20"/>
        </w:rPr>
        <w:t xml:space="preserve">);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Текстовый файл (.</w:t>
      </w:r>
      <w:r>
        <w:rPr>
          <w:rFonts w:ascii="Times New Roman" w:hAnsi="Times New Roman" w:cs="Times New Roman"/>
          <w:sz w:val="20"/>
          <w:szCs w:val="20"/>
        </w:rPr>
        <w:t xml:space="preserve">txt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0"/>
        <w:numPr>
          <w:ilvl w:val="0"/>
          <w:numId w:val="11"/>
        </w:numPr>
        <w:ind w:left="0" w:firstLine="709"/>
        <w:spacing w:before="0" w:after="0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7 </w:t>
      </w:r>
      <w:r>
        <w:rPr>
          <w:rFonts w:ascii="Times New Roman" w:hAnsi="Times New Roman" w:cs="Times New Roman"/>
          <w:sz w:val="20"/>
          <w:szCs w:val="20"/>
        </w:rPr>
        <w:t xml:space="preserve">и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LibreOffice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(*.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odt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*.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ott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*.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ods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*.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ots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).</w:t>
      </w:r>
      <w:r>
        <w:rPr>
          <w:rFonts w:ascii="Times New Roman" w:hAnsi="Times New Roman" w:cs="Times New Roman"/>
          <w:sz w:val="20"/>
          <w:szCs w:val="20"/>
          <w:lang w:val="en-US"/>
        </w:rPr>
      </w:r>
    </w:p>
    <w:p>
      <w:pPr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Обмен неформализованными документами в форматах, не указанных выше, подлежит дополнительному согласованию Сторонами.</w:t>
      </w:r>
      <w:r>
        <w:rPr>
          <w:sz w:val="20"/>
          <w:szCs w:val="20"/>
        </w:rPr>
      </w:r>
    </w:p>
    <w:sectPr>
      <w:footerReference w:type="default" r:id="rId10"/>
      <w:footnotePr/>
      <w:endnotePr/>
      <w:type w:val="nextPage"/>
      <w:pgSz w:w="11906" w:h="16838" w:orient="portrait"/>
      <w:pgMar w:top="567" w:right="567" w:bottom="567" w:left="1134" w:header="284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implified Arabic Fixed">
    <w:panose1 w:val="02070309020205020404"/>
  </w:font>
  <w:font w:name="SimSun">
    <w:panose1 w:val="02020603020101020101"/>
  </w:font>
  <w:font w:name="Franklin Gothic Heavy">
    <w:panose1 w:val="020B0703020202020204"/>
  </w:font>
  <w:font w:name="Calibri">
    <w:panose1 w:val="020F0502020204030204"/>
  </w:font>
  <w:font w:name="MS Mincho">
    <w:panose1 w:val="020206030504050903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91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9918"/>
    </w:tblGrid>
    <w:tr>
      <w:tblPrEx/>
      <w:trPr>
        <w:trHeight w:val="430"/>
      </w:trPr>
      <w:tc>
        <w:tcPr>
          <w:shd w:val="clear" w:color="auto" w:fill="auto"/>
          <w:tcW w:w="9918" w:type="dxa"/>
          <w:textDirection w:val="lrTb"/>
          <w:noWrap w:val="false"/>
        </w:tcPr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  <w:t xml:space="preserve">Подписи сторон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r>
        </w:p>
      </w:tc>
    </w:tr>
  </w:tbl>
  <w:p>
    <w:pPr>
      <w:pStyle w:val="757"/>
    </w:pPr>
    <w:r/>
    <w:r/>
  </w:p>
  <w:p>
    <w:pPr>
      <w:pStyle w:val="757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73"/>
      </w:pPr>
      <w:r>
        <w:rPr>
          <w:rStyle w:val="775"/>
        </w:rPr>
        <w:footnoteRef/>
      </w:r>
      <w:r>
        <w:t xml:space="preserve"> Применяемый тип нумерации указывается в каждом заключенном Сторонами договоре. </w:t>
      </w:r>
      <w:r/>
    </w:p>
  </w:footnote>
  <w:footnote w:id="3">
    <w:p>
      <w:pPr>
        <w:pStyle w:val="773"/>
      </w:pPr>
      <w:r>
        <w:rPr>
          <w:rStyle w:val="775"/>
        </w:rPr>
        <w:footnoteRef/>
      </w:r>
      <w:r>
        <w:t xml:space="preserve"> Адреса электронной почты представителей Сторон должны быть указаны в каждом отдельном договоре (приложении к нему)</w:t>
      </w:r>
      <w:r/>
    </w:p>
  </w:footnote>
  <w:footnote w:id="4">
    <w:p>
      <w:pPr>
        <w:pStyle w:val="773"/>
        <w:jc w:val="both"/>
      </w:pPr>
      <w:r>
        <w:rPr>
          <w:rStyle w:val="775"/>
        </w:rPr>
        <w:footnoteRef/>
      </w:r>
      <w:r>
        <w:t xml:space="preserve"> Адреса электронной почты представителей Сторон должны быть указаны в каждом отдельном договоре (приложении к нему)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840" w:hanging="480"/>
        <w:tabs>
          <w:tab w:val="num" w:pos="840" w:leader="none"/>
        </w:tabs>
      </w:pPr>
      <w:rPr>
        <w:rFonts w:hint="default"/>
        <w:b/>
      </w:rPr>
    </w:lvl>
    <w:lvl w:ilvl="1">
      <w:start w:val="1"/>
      <w:numFmt w:val="decimal"/>
      <w:pStyle w:val="900"/>
      <w:isLgl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  <w:tabs>
          <w:tab w:val="num" w:pos="1080" w:leader="none"/>
        </w:tabs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  <w:tabs>
          <w:tab w:val="num" w:pos="216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pStyle w:val="905"/>
      <w:isLgl w:val="false"/>
      <w:suff w:val="tab"/>
      <w:lvlText w:val="%1."/>
      <w:lvlJc w:val="left"/>
      <w:pPr>
        <w:ind w:left="3905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pStyle w:val="906"/>
      <w:isLgl/>
      <w:suff w:val="tab"/>
      <w:lvlText w:val="%1.%2."/>
      <w:lvlJc w:val="left"/>
      <w:pPr>
        <w:ind w:left="9149" w:hanging="360"/>
      </w:pPr>
      <w:rPr>
        <w:b w:val="0"/>
        <w:i w:val="0"/>
        <w:color w:val="auto"/>
      </w:rPr>
    </w:lvl>
    <w:lvl w:ilvl="2">
      <w:start w:val="1"/>
      <w:numFmt w:val="decimal"/>
      <w:pStyle w:val="908"/>
      <w:isLgl/>
      <w:suff w:val="tab"/>
      <w:lvlText w:val="%1.%2.%3."/>
      <w:lvlJc w:val="left"/>
      <w:pPr>
        <w:ind w:left="1080" w:hanging="720"/>
      </w:pPr>
      <w:rPr>
        <w:i w:val="0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080" w:hanging="72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hint="default"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styleLink w:val="898"/>
    <w:lvl w:ilvl="0">
      <w:start w:val="1"/>
      <w:numFmt w:val="decimal"/>
      <w:pStyle w:val="898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"/>
      <w:lvlJc w:val="left"/>
      <w:pPr>
        <w:ind w:left="1980" w:hanging="360"/>
        <w:tabs>
          <w:tab w:val="num" w:pos="693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)"/>
      <w:lvlJc w:val="left"/>
      <w:pPr>
        <w:ind w:left="2880" w:hanging="360"/>
        <w:tabs>
          <w:tab w:val="num" w:pos="28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7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4"/>
    <w:link w:val="74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2"/>
    <w:next w:val="74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2"/>
    <w:next w:val="74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2"/>
    <w:next w:val="74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2"/>
    <w:next w:val="74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2"/>
    <w:next w:val="74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2"/>
    <w:next w:val="7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2"/>
    <w:next w:val="7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2"/>
    <w:next w:val="7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44"/>
    <w:link w:val="892"/>
    <w:uiPriority w:val="10"/>
    <w:rPr>
      <w:sz w:val="48"/>
      <w:szCs w:val="48"/>
    </w:rPr>
  </w:style>
  <w:style w:type="paragraph" w:styleId="36">
    <w:name w:val="Subtitle"/>
    <w:basedOn w:val="742"/>
    <w:next w:val="74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4"/>
    <w:link w:val="36"/>
    <w:uiPriority w:val="11"/>
    <w:rPr>
      <w:sz w:val="24"/>
      <w:szCs w:val="24"/>
    </w:rPr>
  </w:style>
  <w:style w:type="paragraph" w:styleId="38">
    <w:name w:val="Quote"/>
    <w:basedOn w:val="742"/>
    <w:next w:val="7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2"/>
    <w:next w:val="7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4"/>
    <w:link w:val="755"/>
    <w:uiPriority w:val="99"/>
  </w:style>
  <w:style w:type="character" w:styleId="45">
    <w:name w:val="Footer Char"/>
    <w:basedOn w:val="744"/>
    <w:link w:val="757"/>
    <w:uiPriority w:val="99"/>
  </w:style>
  <w:style w:type="paragraph" w:styleId="46">
    <w:name w:val="Caption"/>
    <w:basedOn w:val="742"/>
    <w:next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7"/>
    <w:uiPriority w:val="99"/>
  </w:style>
  <w:style w:type="table" w:styleId="49">
    <w:name w:val="Table Grid Light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73"/>
    <w:uiPriority w:val="99"/>
    <w:rPr>
      <w:sz w:val="18"/>
    </w:rPr>
  </w:style>
  <w:style w:type="paragraph" w:styleId="178">
    <w:name w:val="endnote text"/>
    <w:basedOn w:val="7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4"/>
    <w:uiPriority w:val="99"/>
    <w:semiHidden/>
    <w:unhideWhenUsed/>
    <w:rPr>
      <w:vertAlign w:val="superscript"/>
    </w:rPr>
  </w:style>
  <w:style w:type="paragraph" w:styleId="181">
    <w:name w:val="toc 1"/>
    <w:basedOn w:val="742"/>
    <w:next w:val="7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2"/>
    <w:next w:val="7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2"/>
    <w:next w:val="7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2"/>
    <w:next w:val="7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2"/>
    <w:next w:val="7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2"/>
    <w:next w:val="7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2"/>
    <w:next w:val="7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2"/>
    <w:next w:val="7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2"/>
    <w:next w:val="7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2"/>
    <w:next w:val="742"/>
    <w:uiPriority w:val="99"/>
    <w:unhideWhenUsed/>
    <w:pPr>
      <w:spacing w:after="0" w:afterAutospacing="0"/>
    </w:pPr>
  </w:style>
  <w:style w:type="paragraph" w:styleId="742" w:default="1">
    <w:name w:val="Normal"/>
    <w:qFormat/>
  </w:style>
  <w:style w:type="paragraph" w:styleId="743">
    <w:name w:val="Heading 1"/>
    <w:basedOn w:val="742"/>
    <w:next w:val="742"/>
    <w:link w:val="785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>
    <w:name w:val="Hyperlink"/>
    <w:basedOn w:val="744"/>
    <w:unhideWhenUsed/>
    <w:rPr>
      <w:color w:val="0000ff" w:themeColor="hyperlink"/>
      <w:u w:val="single"/>
    </w:rPr>
  </w:style>
  <w:style w:type="paragraph" w:styleId="748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table" w:styleId="749">
    <w:name w:val="Table Grid"/>
    <w:basedOn w:val="74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50">
    <w:name w:val="Body Text"/>
    <w:basedOn w:val="742"/>
    <w:link w:val="751"/>
    <w:pPr>
      <w:spacing w:after="120" w:line="240" w:lineRule="auto"/>
    </w:pPr>
    <w:rPr>
      <w:rFonts w:ascii="Arial" w:hAnsi="Arial" w:eastAsia="Times New Roman" w:cs="Times New Roman"/>
      <w:sz w:val="24"/>
      <w:szCs w:val="20"/>
      <w:lang w:eastAsia="ru-RU"/>
    </w:rPr>
  </w:style>
  <w:style w:type="character" w:styleId="751" w:customStyle="1">
    <w:name w:val="Основной текст Знак"/>
    <w:basedOn w:val="744"/>
    <w:link w:val="750"/>
    <w:rPr>
      <w:rFonts w:ascii="Arial" w:hAnsi="Arial" w:eastAsia="Times New Roman" w:cs="Times New Roman"/>
      <w:sz w:val="24"/>
      <w:szCs w:val="20"/>
      <w:lang w:eastAsia="ru-RU"/>
    </w:rPr>
  </w:style>
  <w:style w:type="paragraph" w:styleId="752">
    <w:name w:val="List Paragraph"/>
    <w:basedOn w:val="742"/>
    <w:link w:val="894"/>
    <w:uiPriority w:val="34"/>
    <w:qFormat/>
    <w:pPr>
      <w:contextualSpacing/>
      <w:ind w:left="720"/>
      <w:spacing w:after="0" w:line="240" w:lineRule="auto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753">
    <w:name w:val="Balloon Text"/>
    <w:basedOn w:val="742"/>
    <w:link w:val="75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54" w:customStyle="1">
    <w:name w:val="Текст выноски Знак"/>
    <w:basedOn w:val="744"/>
    <w:link w:val="753"/>
    <w:uiPriority w:val="99"/>
    <w:semiHidden/>
    <w:rPr>
      <w:rFonts w:ascii="Tahoma" w:hAnsi="Tahoma" w:cs="Tahoma"/>
      <w:sz w:val="16"/>
      <w:szCs w:val="16"/>
    </w:rPr>
  </w:style>
  <w:style w:type="paragraph" w:styleId="755">
    <w:name w:val="Header"/>
    <w:basedOn w:val="742"/>
    <w:link w:val="75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6" w:customStyle="1">
    <w:name w:val="Верхний колонтитул Знак"/>
    <w:basedOn w:val="744"/>
    <w:link w:val="755"/>
    <w:uiPriority w:val="99"/>
  </w:style>
  <w:style w:type="paragraph" w:styleId="757">
    <w:name w:val="Footer"/>
    <w:basedOn w:val="742"/>
    <w:link w:val="7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8" w:customStyle="1">
    <w:name w:val="Нижний колонтитул Знак"/>
    <w:basedOn w:val="744"/>
    <w:link w:val="757"/>
    <w:uiPriority w:val="99"/>
  </w:style>
  <w:style w:type="character" w:styleId="759" w:customStyle="1">
    <w:name w:val="Основной текст_"/>
    <w:basedOn w:val="744"/>
    <w:link w:val="76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760" w:customStyle="1">
    <w:name w:val="Основной текст (3)_"/>
    <w:basedOn w:val="744"/>
    <w:link w:val="762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styleId="761" w:customStyle="1">
    <w:name w:val="Основной текст7"/>
    <w:basedOn w:val="742"/>
    <w:link w:val="759"/>
    <w:pPr>
      <w:spacing w:before="1140" w:after="960" w:line="278" w:lineRule="exac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762" w:customStyle="1">
    <w:name w:val="Основной текст (3)"/>
    <w:basedOn w:val="742"/>
    <w:link w:val="760"/>
    <w:pPr>
      <w:jc w:val="both"/>
      <w:spacing w:before="960" w:after="300" w:line="322" w:lineRule="exact"/>
      <w:shd w:val="clear" w:color="auto" w:fill="ffffff"/>
    </w:pPr>
    <w:rPr>
      <w:rFonts w:ascii="Times New Roman" w:hAnsi="Times New Roman" w:eastAsia="Times New Roman" w:cs="Times New Roman"/>
      <w:sz w:val="27"/>
      <w:szCs w:val="27"/>
    </w:rPr>
  </w:style>
  <w:style w:type="character" w:styleId="763" w:customStyle="1">
    <w:name w:val="Заголовок №4_"/>
    <w:basedOn w:val="744"/>
    <w:link w:val="768"/>
    <w:rPr>
      <w:rFonts w:ascii="Times New Roman" w:hAnsi="Times New Roman" w:eastAsia="Times New Roman" w:cs="Times New Roman"/>
      <w:shd w:val="clear" w:color="auto" w:fill="ffffff"/>
    </w:rPr>
  </w:style>
  <w:style w:type="character" w:styleId="764" w:customStyle="1">
    <w:name w:val="Основной текст (5)_"/>
    <w:basedOn w:val="744"/>
    <w:link w:val="769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765" w:customStyle="1">
    <w:name w:val="Основной текст (5) + Не курсив"/>
    <w:basedOn w:val="764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766" w:customStyle="1">
    <w:name w:val="Основной текст + Курсив"/>
    <w:basedOn w:val="759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767" w:customStyle="1">
    <w:name w:val="Основной текст4"/>
    <w:basedOn w:val="742"/>
    <w:pPr>
      <w:spacing w:before="540"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3"/>
      <w:szCs w:val="23"/>
      <w:lang w:val="ru" w:eastAsia="ru-RU"/>
    </w:rPr>
  </w:style>
  <w:style w:type="paragraph" w:styleId="768" w:customStyle="1">
    <w:name w:val="Заголовок №4"/>
    <w:basedOn w:val="742"/>
    <w:link w:val="763"/>
    <w:pPr>
      <w:spacing w:before="600" w:after="600" w:line="0" w:lineRule="atLeast"/>
      <w:shd w:val="clear" w:color="auto" w:fill="ffffff"/>
      <w:outlineLvl w:val="3"/>
    </w:pPr>
    <w:rPr>
      <w:rFonts w:ascii="Times New Roman" w:hAnsi="Times New Roman" w:eastAsia="Times New Roman" w:cs="Times New Roman"/>
    </w:rPr>
  </w:style>
  <w:style w:type="paragraph" w:styleId="769" w:customStyle="1">
    <w:name w:val="Основной текст (5)"/>
    <w:basedOn w:val="742"/>
    <w:link w:val="764"/>
    <w:pPr>
      <w:jc w:val="both"/>
      <w:spacing w:before="600" w:after="0" w:line="274" w:lineRule="exac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770">
    <w:name w:val="Plain Text"/>
    <w:basedOn w:val="742"/>
    <w:link w:val="771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styleId="771" w:customStyle="1">
    <w:name w:val="Текст Знак"/>
    <w:basedOn w:val="744"/>
    <w:link w:val="770"/>
    <w:uiPriority w:val="99"/>
    <w:rPr>
      <w:rFonts w:ascii="Calibri" w:hAnsi="Calibri"/>
      <w:szCs w:val="21"/>
    </w:rPr>
  </w:style>
  <w:style w:type="paragraph" w:styleId="772" w:customStyle="1">
    <w:name w:val="Список нум. СТП"/>
    <w:basedOn w:val="742"/>
    <w:pPr>
      <w:jc w:val="both"/>
      <w:spacing w:before="120" w:after="0" w:line="360" w:lineRule="auto"/>
      <w:tabs>
        <w:tab w:val="num" w:pos="216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3">
    <w:name w:val="footnote text"/>
    <w:basedOn w:val="742"/>
    <w:link w:val="776"/>
    <w:uiPriority w:val="99"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74" w:customStyle="1">
    <w:name w:val="Текст сноски Знак"/>
    <w:basedOn w:val="744"/>
    <w:uiPriority w:val="99"/>
    <w:rPr>
      <w:sz w:val="20"/>
      <w:szCs w:val="20"/>
    </w:rPr>
  </w:style>
  <w:style w:type="character" w:styleId="775">
    <w:name w:val="footnote reference"/>
    <w:uiPriority w:val="99"/>
    <w:unhideWhenUsed/>
    <w:rPr>
      <w:vertAlign w:val="superscript"/>
    </w:rPr>
  </w:style>
  <w:style w:type="character" w:styleId="776" w:customStyle="1">
    <w:name w:val="Текст сноски Знак1"/>
    <w:basedOn w:val="744"/>
    <w:link w:val="773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77" w:customStyle="1">
    <w:name w:val="Font Style21"/>
    <w:basedOn w:val="744"/>
    <w:uiPriority w:val="99"/>
    <w:rPr>
      <w:rFonts w:ascii="Arial" w:hAnsi="Arial" w:cs="Arial"/>
      <w:sz w:val="16"/>
      <w:szCs w:val="16"/>
    </w:rPr>
  </w:style>
  <w:style w:type="paragraph" w:styleId="778">
    <w:name w:val="Body Text Indent"/>
    <w:basedOn w:val="742"/>
    <w:link w:val="779"/>
    <w:uiPriority w:val="99"/>
    <w:semiHidden/>
    <w:unhideWhenUsed/>
    <w:pPr>
      <w:ind w:left="283"/>
      <w:spacing w:after="120"/>
    </w:pPr>
  </w:style>
  <w:style w:type="character" w:styleId="779" w:customStyle="1">
    <w:name w:val="Основной текст с отступом Знак"/>
    <w:basedOn w:val="744"/>
    <w:link w:val="778"/>
    <w:semiHidden/>
  </w:style>
  <w:style w:type="character" w:styleId="780" w:customStyle="1">
    <w:name w:val="Font Style80"/>
    <w:rPr>
      <w:rFonts w:hint="default" w:ascii="Times New Roman" w:hAnsi="Times New Roman" w:cs="Times New Roman"/>
      <w:sz w:val="28"/>
      <w:szCs w:val="28"/>
    </w:rPr>
  </w:style>
  <w:style w:type="character" w:styleId="781" w:customStyle="1">
    <w:name w:val="Подпись к таблице_"/>
    <w:basedOn w:val="744"/>
    <w:link w:val="782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782" w:customStyle="1">
    <w:name w:val="Подпись к таблице"/>
    <w:basedOn w:val="742"/>
    <w:link w:val="781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character" w:styleId="783" w:customStyle="1">
    <w:name w:val="Основной текст (4)_"/>
    <w:basedOn w:val="744"/>
    <w:link w:val="784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styleId="784" w:customStyle="1">
    <w:name w:val="Основной текст (4)"/>
    <w:basedOn w:val="742"/>
    <w:link w:val="783"/>
    <w:pPr>
      <w:spacing w:before="960" w:after="0" w:line="643" w:lineRule="exact"/>
      <w:shd w:val="clear" w:color="auto" w:fill="ffffff"/>
    </w:pPr>
    <w:rPr>
      <w:rFonts w:ascii="Times New Roman" w:hAnsi="Times New Roman" w:eastAsia="Times New Roman" w:cs="Times New Roman"/>
      <w:sz w:val="27"/>
      <w:szCs w:val="27"/>
    </w:rPr>
  </w:style>
  <w:style w:type="character" w:styleId="785" w:customStyle="1">
    <w:name w:val="Заголовок 1 Знак"/>
    <w:basedOn w:val="744"/>
    <w:link w:val="74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86" w:customStyle="1">
    <w:name w:val="Подпись к картинке_"/>
    <w:basedOn w:val="744"/>
    <w:link w:val="862"/>
    <w:rPr>
      <w:rFonts w:ascii="Franklin Gothic Heavy" w:hAnsi="Franklin Gothic Heavy" w:eastAsia="Franklin Gothic Heavy" w:cs="Franklin Gothic Heavy"/>
      <w:sz w:val="20"/>
      <w:szCs w:val="20"/>
      <w:shd w:val="clear" w:color="auto" w:fill="ffffff"/>
    </w:rPr>
  </w:style>
  <w:style w:type="character" w:styleId="787" w:customStyle="1">
    <w:name w:val="Подпись к картинке"/>
    <w:basedOn w:val="786"/>
    <w:rPr>
      <w:rFonts w:ascii="Franklin Gothic Heavy" w:hAnsi="Franklin Gothic Heavy" w:eastAsia="Franklin Gothic Heavy" w:cs="Franklin Gothic Heavy"/>
      <w:sz w:val="20"/>
      <w:szCs w:val="20"/>
      <w:shd w:val="clear" w:color="auto" w:fill="ffffff"/>
    </w:rPr>
  </w:style>
  <w:style w:type="character" w:styleId="788" w:customStyle="1">
    <w:name w:val="Основной текст (2)_"/>
    <w:basedOn w:val="744"/>
    <w:link w:val="864"/>
    <w:rPr>
      <w:rFonts w:ascii="Times New Roman" w:hAnsi="Times New Roman" w:eastAsia="Times New Roman" w:cs="Times New Roman"/>
      <w:spacing w:val="-40"/>
      <w:sz w:val="50"/>
      <w:szCs w:val="50"/>
      <w:shd w:val="clear" w:color="auto" w:fill="ffffff"/>
    </w:rPr>
  </w:style>
  <w:style w:type="character" w:styleId="789" w:customStyle="1">
    <w:name w:val="Заголовок №1_"/>
    <w:basedOn w:val="744"/>
    <w:link w:val="865"/>
    <w:rPr>
      <w:rFonts w:ascii="Franklin Gothic Heavy" w:hAnsi="Franklin Gothic Heavy" w:eastAsia="Franklin Gothic Heavy" w:cs="Franklin Gothic Heavy"/>
      <w:sz w:val="34"/>
      <w:szCs w:val="34"/>
      <w:shd w:val="clear" w:color="auto" w:fill="ffffff"/>
    </w:rPr>
  </w:style>
  <w:style w:type="character" w:styleId="790" w:customStyle="1">
    <w:name w:val="Колонтитул_"/>
    <w:basedOn w:val="744"/>
    <w:link w:val="867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character" w:styleId="791" w:customStyle="1">
    <w:name w:val="Колонтитул + 11;5 pt"/>
    <w:basedOn w:val="790"/>
    <w:rPr>
      <w:rFonts w:ascii="Times New Roman" w:hAnsi="Times New Roman" w:eastAsia="Times New Roman" w:cs="Times New Roman"/>
      <w:spacing w:val="0"/>
      <w:sz w:val="23"/>
      <w:szCs w:val="23"/>
      <w:shd w:val="clear" w:color="auto" w:fill="ffffff"/>
    </w:rPr>
  </w:style>
  <w:style w:type="character" w:styleId="792" w:customStyle="1">
    <w:name w:val="Основной текст (7)_"/>
    <w:basedOn w:val="744"/>
    <w:link w:val="868"/>
    <w:rPr>
      <w:spacing w:val="-10"/>
      <w:sz w:val="38"/>
      <w:szCs w:val="38"/>
      <w:shd w:val="clear" w:color="auto" w:fill="ffffff"/>
    </w:rPr>
  </w:style>
  <w:style w:type="character" w:styleId="793" w:customStyle="1">
    <w:name w:val="Основной текст (7) + Times New Roman;11;5 pt;Интервал 0 pt"/>
    <w:basedOn w:val="792"/>
    <w:rPr>
      <w:rFonts w:ascii="Times New Roman" w:hAnsi="Times New Roman" w:eastAsia="Times New Roman" w:cs="Times New Roman"/>
      <w:spacing w:val="0"/>
      <w:sz w:val="23"/>
      <w:szCs w:val="23"/>
      <w:shd w:val="clear" w:color="auto" w:fill="ffffff"/>
      <w:lang w:val="en-US"/>
    </w:rPr>
  </w:style>
  <w:style w:type="character" w:styleId="794" w:customStyle="1">
    <w:name w:val="Основной текст (7)"/>
    <w:basedOn w:val="792"/>
    <w:rPr>
      <w:spacing w:val="-10"/>
      <w:sz w:val="38"/>
      <w:szCs w:val="38"/>
      <w:shd w:val="clear" w:color="auto" w:fill="ffffff"/>
    </w:rPr>
  </w:style>
  <w:style w:type="character" w:styleId="795" w:customStyle="1">
    <w:name w:val="Основной текст (7)2"/>
    <w:basedOn w:val="792"/>
    <w:rPr>
      <w:spacing w:val="-10"/>
      <w:sz w:val="38"/>
      <w:szCs w:val="38"/>
      <w:u w:val="single"/>
      <w:shd w:val="clear" w:color="auto" w:fill="ffffff"/>
    </w:rPr>
  </w:style>
  <w:style w:type="character" w:styleId="796" w:customStyle="1">
    <w:name w:val="Основной текст (6)_"/>
    <w:basedOn w:val="744"/>
    <w:link w:val="869"/>
    <w:rPr>
      <w:rFonts w:ascii="Times New Roman" w:hAnsi="Times New Roman" w:eastAsia="Times New Roman" w:cs="Times New Roman"/>
      <w:sz w:val="18"/>
      <w:szCs w:val="18"/>
      <w:shd w:val="clear" w:color="auto" w:fill="ffffff"/>
    </w:rPr>
  </w:style>
  <w:style w:type="character" w:styleId="797" w:customStyle="1">
    <w:name w:val="Основной текст (5)2"/>
    <w:basedOn w:val="76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styleId="798" w:customStyle="1">
    <w:name w:val="Заголовок №3_"/>
    <w:basedOn w:val="744"/>
    <w:link w:val="87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799" w:customStyle="1">
    <w:name w:val="Оглавление_"/>
    <w:basedOn w:val="744"/>
    <w:link w:val="87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00" w:customStyle="1">
    <w:name w:val="Основной текст + Полужирный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01" w:customStyle="1">
    <w:name w:val="Основной текст + Полужирный6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02" w:customStyle="1">
    <w:name w:val="Основной текст (8)_"/>
    <w:basedOn w:val="744"/>
    <w:link w:val="872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03" w:customStyle="1">
    <w:name w:val="Основной текст + Полужирный5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04" w:customStyle="1">
    <w:name w:val="Основной текст (9)_"/>
    <w:basedOn w:val="744"/>
    <w:link w:val="873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05" w:customStyle="1">
    <w:name w:val="Основной текст (9) + Не курсив"/>
    <w:basedOn w:val="804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806" w:customStyle="1">
    <w:name w:val="Основной текст (9) + Полужирный;Не курсив"/>
    <w:basedOn w:val="804"/>
    <w:rPr>
      <w:rFonts w:ascii="Times New Roman" w:hAnsi="Times New Roman" w:eastAsia="Times New Roman" w:cs="Times New Roman"/>
      <w:b/>
      <w:bCs/>
      <w:i/>
      <w:iCs/>
      <w:sz w:val="23"/>
      <w:szCs w:val="23"/>
      <w:shd w:val="clear" w:color="auto" w:fill="ffffff"/>
    </w:rPr>
  </w:style>
  <w:style w:type="character" w:styleId="807" w:customStyle="1">
    <w:name w:val="Основной текст (6) + 7;5 pt;Курсив"/>
    <w:basedOn w:val="796"/>
    <w:rPr>
      <w:rFonts w:ascii="Times New Roman" w:hAnsi="Times New Roman" w:eastAsia="Times New Roman" w:cs="Times New Roman"/>
      <w:i/>
      <w:iCs/>
      <w:sz w:val="15"/>
      <w:szCs w:val="15"/>
      <w:shd w:val="clear" w:color="auto" w:fill="ffffff"/>
    </w:rPr>
  </w:style>
  <w:style w:type="character" w:styleId="808" w:customStyle="1">
    <w:name w:val="Основной текст (9) + Полужирный;Не курсив1"/>
    <w:basedOn w:val="804"/>
    <w:rPr>
      <w:rFonts w:ascii="Times New Roman" w:hAnsi="Times New Roman" w:eastAsia="Times New Roman" w:cs="Times New Roman"/>
      <w:b/>
      <w:bCs/>
      <w:i/>
      <w:iCs/>
      <w:sz w:val="23"/>
      <w:szCs w:val="23"/>
      <w:shd w:val="clear" w:color="auto" w:fill="ffffff"/>
    </w:rPr>
  </w:style>
  <w:style w:type="character" w:styleId="809" w:customStyle="1">
    <w:name w:val="Основной текст (9) + 10 pt;Полужирный;Не курсив"/>
    <w:basedOn w:val="804"/>
    <w:rPr>
      <w:rFonts w:ascii="Times New Roman" w:hAnsi="Times New Roman" w:eastAsia="Times New Roman" w:cs="Times New Roman"/>
      <w:b/>
      <w:bCs/>
      <w:i/>
      <w:iCs/>
      <w:sz w:val="20"/>
      <w:szCs w:val="20"/>
      <w:shd w:val="clear" w:color="auto" w:fill="ffffff"/>
    </w:rPr>
  </w:style>
  <w:style w:type="character" w:styleId="810" w:customStyle="1">
    <w:name w:val="Основной текст (9) + 10 pt;Полужирный;Не курсив2"/>
    <w:basedOn w:val="804"/>
    <w:rPr>
      <w:rFonts w:ascii="Times New Roman" w:hAnsi="Times New Roman" w:eastAsia="Times New Roman" w:cs="Times New Roman"/>
      <w:b/>
      <w:bCs/>
      <w:i/>
      <w:iCs/>
      <w:sz w:val="20"/>
      <w:szCs w:val="20"/>
      <w:u w:val="single"/>
      <w:shd w:val="clear" w:color="auto" w:fill="ffffff"/>
      <w:lang w:val="en-US"/>
    </w:rPr>
  </w:style>
  <w:style w:type="character" w:styleId="811" w:customStyle="1">
    <w:name w:val="Основной текст (9) + 10 pt;Полужирный;Не курсив1"/>
    <w:basedOn w:val="804"/>
    <w:rPr>
      <w:rFonts w:ascii="Times New Roman" w:hAnsi="Times New Roman" w:eastAsia="Times New Roman" w:cs="Times New Roman"/>
      <w:b/>
      <w:bCs/>
      <w:i/>
      <w:iCs/>
      <w:sz w:val="20"/>
      <w:szCs w:val="20"/>
      <w:shd w:val="clear" w:color="auto" w:fill="ffffff"/>
    </w:rPr>
  </w:style>
  <w:style w:type="character" w:styleId="812" w:customStyle="1">
    <w:name w:val="Основной текст (9) + Не курсив3"/>
    <w:basedOn w:val="804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813" w:customStyle="1">
    <w:name w:val="Основной текст1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14" w:customStyle="1">
    <w:name w:val="Основной текст + Интервал -1 pt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styleId="815" w:customStyle="1">
    <w:name w:val="Основной текст + Интервал -1 pt3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shd w:val="clear" w:color="auto" w:fill="ffffff"/>
      <w:lang w:val="en-US"/>
    </w:rPr>
  </w:style>
  <w:style w:type="character" w:styleId="816" w:customStyle="1">
    <w:name w:val="Основной текст + Интервал -1 pt2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styleId="817" w:customStyle="1">
    <w:name w:val="Основной текст + Полужирный4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18" w:customStyle="1">
    <w:name w:val="Заголовок №3 + Не полужирный"/>
    <w:basedOn w:val="798"/>
    <w:rPr>
      <w:rFonts w:ascii="Times New Roman" w:hAnsi="Times New Roman" w:eastAsia="Times New Roman" w:cs="Times New Roman"/>
      <w:b/>
      <w:bCs/>
      <w:spacing w:val="0"/>
      <w:sz w:val="23"/>
      <w:szCs w:val="23"/>
      <w:shd w:val="clear" w:color="auto" w:fill="ffffff"/>
    </w:rPr>
  </w:style>
  <w:style w:type="character" w:styleId="819" w:customStyle="1">
    <w:name w:val="Основной текст (8) + Не полужирный"/>
    <w:basedOn w:val="802"/>
    <w:rPr>
      <w:rFonts w:ascii="Times New Roman" w:hAnsi="Times New Roman" w:eastAsia="Times New Roman" w:cs="Times New Roman"/>
      <w:b/>
      <w:bCs/>
      <w:spacing w:val="0"/>
      <w:sz w:val="23"/>
      <w:szCs w:val="23"/>
      <w:shd w:val="clear" w:color="auto" w:fill="ffffff"/>
    </w:rPr>
  </w:style>
  <w:style w:type="character" w:styleId="820" w:customStyle="1">
    <w:name w:val="Основной текст (11)_"/>
    <w:basedOn w:val="744"/>
    <w:link w:val="874"/>
    <w:rPr>
      <w:sz w:val="23"/>
      <w:szCs w:val="23"/>
      <w:shd w:val="clear" w:color="auto" w:fill="ffffff"/>
    </w:rPr>
  </w:style>
  <w:style w:type="character" w:styleId="821" w:customStyle="1">
    <w:name w:val="Основной текст (10)_"/>
    <w:basedOn w:val="744"/>
    <w:link w:val="875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character" w:styleId="822" w:customStyle="1">
    <w:name w:val="Подпись к таблице (2)_"/>
    <w:basedOn w:val="744"/>
    <w:link w:val="876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23" w:customStyle="1">
    <w:name w:val="Подпись к таблице (2) + Не курсив"/>
    <w:basedOn w:val="822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824" w:customStyle="1">
    <w:name w:val="Основной текст (12)_"/>
    <w:basedOn w:val="744"/>
    <w:link w:val="877"/>
    <w:rPr>
      <w:rFonts w:ascii="Times New Roman" w:hAnsi="Times New Roman" w:eastAsia="Times New Roman" w:cs="Times New Roman"/>
      <w:sz w:val="15"/>
      <w:szCs w:val="15"/>
      <w:shd w:val="clear" w:color="auto" w:fill="ffffff"/>
    </w:rPr>
  </w:style>
  <w:style w:type="character" w:styleId="825" w:customStyle="1">
    <w:name w:val="Основной текст (14)_"/>
    <w:basedOn w:val="744"/>
    <w:link w:val="878"/>
    <w:rPr>
      <w:sz w:val="16"/>
      <w:szCs w:val="16"/>
      <w:shd w:val="clear" w:color="auto" w:fill="ffffff"/>
    </w:rPr>
  </w:style>
  <w:style w:type="character" w:styleId="826" w:customStyle="1">
    <w:name w:val="Основной текст (13)_"/>
    <w:basedOn w:val="744"/>
    <w:link w:val="879"/>
    <w:rPr>
      <w:rFonts w:ascii="SimSun" w:hAnsi="SimSun" w:eastAsia="SimSun" w:cs="SimSun"/>
      <w:sz w:val="14"/>
      <w:szCs w:val="14"/>
      <w:shd w:val="clear" w:color="auto" w:fill="ffffff"/>
    </w:rPr>
  </w:style>
  <w:style w:type="character" w:styleId="827" w:customStyle="1">
    <w:name w:val="Основной текст (9)"/>
    <w:basedOn w:val="804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28" w:customStyle="1">
    <w:name w:val="Основной текст (9) + Arial Unicode MS;19 pt;Интервал 0 pt"/>
    <w:basedOn w:val="804"/>
    <w:rPr>
      <w:rFonts w:ascii="Arial Unicode MS" w:hAnsi="Arial Unicode MS" w:eastAsia="Arial Unicode MS" w:cs="Arial Unicode MS"/>
      <w:spacing w:val="-10"/>
      <w:sz w:val="38"/>
      <w:szCs w:val="38"/>
      <w:u w:val="single"/>
      <w:shd w:val="clear" w:color="auto" w:fill="ffffff"/>
    </w:rPr>
  </w:style>
  <w:style w:type="character" w:styleId="829" w:customStyle="1">
    <w:name w:val="Основной текст (9)3"/>
    <w:basedOn w:val="804"/>
    <w:rPr>
      <w:rFonts w:ascii="Times New Roman" w:hAnsi="Times New Roman" w:eastAsia="Times New Roman" w:cs="Times New Roman"/>
      <w:sz w:val="23"/>
      <w:szCs w:val="23"/>
      <w:u w:val="single"/>
      <w:shd w:val="clear" w:color="auto" w:fill="ffffff"/>
    </w:rPr>
  </w:style>
  <w:style w:type="character" w:styleId="830" w:customStyle="1">
    <w:name w:val="Заголовок №3 + Интервал 3 pt"/>
    <w:basedOn w:val="798"/>
    <w:rPr>
      <w:rFonts w:ascii="Times New Roman" w:hAnsi="Times New Roman" w:eastAsia="Times New Roman" w:cs="Times New Roman"/>
      <w:spacing w:val="60"/>
      <w:sz w:val="23"/>
      <w:szCs w:val="23"/>
      <w:shd w:val="clear" w:color="auto" w:fill="ffffff"/>
    </w:rPr>
  </w:style>
  <w:style w:type="character" w:styleId="831" w:customStyle="1">
    <w:name w:val="Основной текст + Полужирный;Курсив"/>
    <w:basedOn w:val="759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styleId="832" w:customStyle="1">
    <w:name w:val="Основной текст (9) + Полужирный"/>
    <w:basedOn w:val="804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character" w:styleId="833" w:customStyle="1">
    <w:name w:val="Основной текст (9) + Не курсив2"/>
    <w:basedOn w:val="804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834" w:customStyle="1">
    <w:name w:val="Основной текст + Курсив2"/>
    <w:basedOn w:val="759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styleId="835" w:customStyle="1">
    <w:name w:val="Основной текст + Полужирный;Курсив1"/>
    <w:basedOn w:val="759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styleId="836" w:customStyle="1">
    <w:name w:val="Основной текст + Полужирный3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37" w:customStyle="1">
    <w:name w:val="Основной текст + Курсив1"/>
    <w:basedOn w:val="759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styleId="838" w:customStyle="1">
    <w:name w:val="Основной текст + Полужирный2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39" w:customStyle="1">
    <w:name w:val="Основной текст + Интервал 3 pt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  <w:shd w:val="clear" w:color="auto" w:fill="ffffff"/>
    </w:rPr>
  </w:style>
  <w:style w:type="character" w:styleId="840" w:customStyle="1">
    <w:name w:val="Основной текст (15)_"/>
    <w:basedOn w:val="744"/>
    <w:link w:val="880"/>
    <w:rPr>
      <w:rFonts w:ascii="Times New Roman" w:hAnsi="Times New Roman" w:eastAsia="Times New Roman" w:cs="Times New Roman"/>
      <w:shd w:val="clear" w:color="auto" w:fill="ffffff"/>
    </w:rPr>
  </w:style>
  <w:style w:type="character" w:styleId="841" w:customStyle="1">
    <w:name w:val="Основной текст (8) + Курсив"/>
    <w:basedOn w:val="802"/>
    <w:rPr>
      <w:rFonts w:ascii="Times New Roman" w:hAnsi="Times New Roman" w:eastAsia="Times New Roman" w:cs="Times New Roman"/>
      <w:i/>
      <w:iCs/>
      <w:spacing w:val="0"/>
      <w:sz w:val="23"/>
      <w:szCs w:val="23"/>
      <w:shd w:val="clear" w:color="auto" w:fill="ffffff"/>
    </w:rPr>
  </w:style>
  <w:style w:type="character" w:styleId="842" w:customStyle="1">
    <w:name w:val="Заголовок №2_"/>
    <w:basedOn w:val="744"/>
    <w:link w:val="88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43" w:customStyle="1">
    <w:name w:val="Заголовок №2 (2)_"/>
    <w:basedOn w:val="744"/>
    <w:link w:val="882"/>
    <w:rPr>
      <w:rFonts w:ascii="SimSun" w:hAnsi="SimSun" w:eastAsia="SimSun" w:cs="SimSun"/>
      <w:sz w:val="19"/>
      <w:szCs w:val="19"/>
      <w:shd w:val="clear" w:color="auto" w:fill="ffffff"/>
    </w:rPr>
  </w:style>
  <w:style w:type="character" w:styleId="844" w:customStyle="1">
    <w:name w:val="Основной текст (9) + 12 pt;Не курсив"/>
    <w:basedOn w:val="804"/>
    <w:rPr>
      <w:rFonts w:ascii="Times New Roman" w:hAnsi="Times New Roman" w:eastAsia="Times New Roman" w:cs="Times New Roman"/>
      <w:i/>
      <w:iCs/>
      <w:sz w:val="24"/>
      <w:szCs w:val="24"/>
      <w:shd w:val="clear" w:color="auto" w:fill="ffffff"/>
    </w:rPr>
  </w:style>
  <w:style w:type="character" w:styleId="845" w:customStyle="1">
    <w:name w:val="Основной текст (9) + Не курсив1"/>
    <w:basedOn w:val="804"/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846" w:customStyle="1">
    <w:name w:val="Подпись к таблице (3)_"/>
    <w:basedOn w:val="744"/>
    <w:link w:val="883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47" w:customStyle="1">
    <w:name w:val="Подпись к таблице (3) + Полужирный"/>
    <w:basedOn w:val="846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character" w:styleId="848" w:customStyle="1">
    <w:name w:val="Подпись к таблице (4)_"/>
    <w:basedOn w:val="744"/>
    <w:link w:val="884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49" w:customStyle="1">
    <w:name w:val="Основной текст + Полужирный1"/>
    <w:basedOn w:val="75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50" w:customStyle="1">
    <w:name w:val="Основной текст (8)"/>
    <w:basedOn w:val="802"/>
    <w:rPr>
      <w:rFonts w:ascii="Times New Roman" w:hAnsi="Times New Roman" w:eastAsia="Times New Roman" w:cs="Times New Roman"/>
      <w:sz w:val="23"/>
      <w:szCs w:val="23"/>
      <w:u w:val="single"/>
      <w:shd w:val="clear" w:color="auto" w:fill="ffffff"/>
    </w:rPr>
  </w:style>
  <w:style w:type="character" w:styleId="851" w:customStyle="1">
    <w:name w:val="Основной текст (16)_"/>
    <w:basedOn w:val="744"/>
    <w:link w:val="885"/>
    <w:rPr>
      <w:rFonts w:ascii="Times New Roman" w:hAnsi="Times New Roman" w:eastAsia="Times New Roman" w:cs="Times New Roman"/>
      <w:shd w:val="clear" w:color="auto" w:fill="ffffff"/>
    </w:rPr>
  </w:style>
  <w:style w:type="character" w:styleId="852" w:customStyle="1">
    <w:name w:val="Основной текст (9)2"/>
    <w:basedOn w:val="804"/>
    <w:rPr>
      <w:rFonts w:ascii="Times New Roman" w:hAnsi="Times New Roman" w:eastAsia="Times New Roman" w:cs="Times New Roman"/>
      <w:sz w:val="23"/>
      <w:szCs w:val="23"/>
      <w:u w:val="single"/>
      <w:shd w:val="clear" w:color="auto" w:fill="ffffff"/>
    </w:rPr>
  </w:style>
  <w:style w:type="character" w:styleId="853" w:customStyle="1">
    <w:name w:val="Основной текст (17)_"/>
    <w:basedOn w:val="744"/>
    <w:link w:val="886"/>
    <w:rPr>
      <w:rFonts w:ascii="Times New Roman" w:hAnsi="Times New Roman" w:eastAsia="Times New Roman" w:cs="Times New Roman"/>
      <w:sz w:val="17"/>
      <w:szCs w:val="17"/>
      <w:shd w:val="clear" w:color="auto" w:fill="ffffff"/>
    </w:rPr>
  </w:style>
  <w:style w:type="character" w:styleId="854" w:customStyle="1">
    <w:name w:val="Основной текст (19)_"/>
    <w:basedOn w:val="744"/>
    <w:link w:val="887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character" w:styleId="855" w:customStyle="1">
    <w:name w:val="Основной текст (20)_"/>
    <w:basedOn w:val="744"/>
    <w:link w:val="888"/>
    <w:rPr>
      <w:sz w:val="18"/>
      <w:szCs w:val="18"/>
      <w:shd w:val="clear" w:color="auto" w:fill="ffffff"/>
    </w:rPr>
  </w:style>
  <w:style w:type="character" w:styleId="856" w:customStyle="1">
    <w:name w:val="Основной текст (18)_"/>
    <w:basedOn w:val="744"/>
    <w:link w:val="889"/>
    <w:rPr>
      <w:rFonts w:ascii="Times New Roman" w:hAnsi="Times New Roman" w:eastAsia="Times New Roman" w:cs="Times New Roman"/>
      <w:sz w:val="17"/>
      <w:szCs w:val="17"/>
      <w:shd w:val="clear" w:color="auto" w:fill="ffffff"/>
    </w:rPr>
  </w:style>
  <w:style w:type="character" w:styleId="857" w:customStyle="1">
    <w:name w:val="Основной текст (21)_"/>
    <w:basedOn w:val="744"/>
    <w:link w:val="89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character" w:styleId="858" w:customStyle="1">
    <w:name w:val="Основной текст2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59" w:customStyle="1">
    <w:name w:val="Основной текст3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styleId="860" w:customStyle="1">
    <w:name w:val="Основной текст + Интервал -1 pt1"/>
    <w:basedOn w:val="75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shd w:val="clear" w:color="auto" w:fill="ffffff"/>
    </w:rPr>
  </w:style>
  <w:style w:type="character" w:styleId="861" w:customStyle="1">
    <w:name w:val="Основной текст (22)_"/>
    <w:basedOn w:val="744"/>
    <w:link w:val="891"/>
    <w:rPr>
      <w:sz w:val="23"/>
      <w:szCs w:val="23"/>
      <w:shd w:val="clear" w:color="auto" w:fill="ffffff"/>
    </w:rPr>
  </w:style>
  <w:style w:type="paragraph" w:styleId="862" w:customStyle="1">
    <w:name w:val="Подпись к картинке1"/>
    <w:basedOn w:val="742"/>
    <w:link w:val="786"/>
    <w:pPr>
      <w:spacing w:after="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20"/>
      <w:szCs w:val="20"/>
    </w:rPr>
  </w:style>
  <w:style w:type="paragraph" w:styleId="863" w:customStyle="1">
    <w:name w:val="Основной текст5"/>
    <w:basedOn w:val="742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3"/>
      <w:szCs w:val="23"/>
      <w:lang w:val="ru" w:eastAsia="ru-RU"/>
    </w:rPr>
  </w:style>
  <w:style w:type="paragraph" w:styleId="864" w:customStyle="1">
    <w:name w:val="Основной текст (2)"/>
    <w:basedOn w:val="742"/>
    <w:link w:val="788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pacing w:val="-40"/>
      <w:sz w:val="50"/>
      <w:szCs w:val="50"/>
    </w:rPr>
  </w:style>
  <w:style w:type="paragraph" w:styleId="865" w:customStyle="1">
    <w:name w:val="Заголовок №1"/>
    <w:basedOn w:val="742"/>
    <w:link w:val="789"/>
    <w:pPr>
      <w:spacing w:after="540" w:line="0" w:lineRule="atLeast"/>
      <w:shd w:val="clear" w:color="auto" w:fill="ffffff"/>
      <w:outlineLvl w:val="0"/>
    </w:pPr>
    <w:rPr>
      <w:rFonts w:ascii="Franklin Gothic Heavy" w:hAnsi="Franklin Gothic Heavy" w:eastAsia="Franklin Gothic Heavy" w:cs="Franklin Gothic Heavy"/>
      <w:sz w:val="34"/>
      <w:szCs w:val="34"/>
    </w:rPr>
  </w:style>
  <w:style w:type="paragraph" w:styleId="866" w:customStyle="1">
    <w:name w:val="Основной текст (5)1"/>
    <w:basedOn w:val="742"/>
    <w:pPr>
      <w:spacing w:before="960" w:after="0" w:line="0" w:lineRule="atLeast"/>
      <w:shd w:val="clear" w:color="auto" w:fill="ffffff"/>
    </w:pPr>
    <w:rPr>
      <w:rFonts w:ascii="Arial Unicode MS" w:hAnsi="Arial Unicode MS" w:eastAsia="Arial Unicode MS" w:cs="Arial Unicode MS"/>
      <w:color w:val="000000"/>
      <w:sz w:val="14"/>
      <w:szCs w:val="14"/>
      <w:lang w:val="ru" w:eastAsia="ru-RU"/>
    </w:rPr>
  </w:style>
  <w:style w:type="paragraph" w:styleId="867" w:customStyle="1">
    <w:name w:val="Колонтитул"/>
    <w:basedOn w:val="742"/>
    <w:link w:val="790"/>
    <w:pPr>
      <w:spacing w:after="0" w:line="240" w:lineRule="auto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868" w:customStyle="1">
    <w:name w:val="Основной текст (7)1"/>
    <w:basedOn w:val="742"/>
    <w:link w:val="792"/>
    <w:pPr>
      <w:spacing w:after="540" w:line="0" w:lineRule="atLeast"/>
      <w:shd w:val="clear" w:color="auto" w:fill="ffffff"/>
    </w:pPr>
    <w:rPr>
      <w:spacing w:val="-10"/>
      <w:sz w:val="38"/>
      <w:szCs w:val="38"/>
    </w:rPr>
  </w:style>
  <w:style w:type="paragraph" w:styleId="869" w:customStyle="1">
    <w:name w:val="Основной текст (6)"/>
    <w:basedOn w:val="742"/>
    <w:link w:val="796"/>
    <w:pPr>
      <w:jc w:val="both"/>
      <w:spacing w:after="180" w:line="250" w:lineRule="exact"/>
      <w:shd w:val="clear" w:color="auto" w:fill="ffffff"/>
    </w:pPr>
    <w:rPr>
      <w:rFonts w:ascii="Times New Roman" w:hAnsi="Times New Roman" w:eastAsia="Times New Roman" w:cs="Times New Roman"/>
      <w:sz w:val="18"/>
      <w:szCs w:val="18"/>
    </w:rPr>
  </w:style>
  <w:style w:type="paragraph" w:styleId="870" w:customStyle="1">
    <w:name w:val="Заголовок №3"/>
    <w:basedOn w:val="742"/>
    <w:link w:val="798"/>
    <w:pPr>
      <w:spacing w:after="900" w:line="0" w:lineRule="atLeast"/>
      <w:shd w:val="clear" w:color="auto" w:fill="ffffff"/>
      <w:outlineLvl w:val="2"/>
    </w:pPr>
    <w:rPr>
      <w:rFonts w:ascii="Times New Roman" w:hAnsi="Times New Roman" w:eastAsia="Times New Roman" w:cs="Times New Roman"/>
      <w:sz w:val="23"/>
      <w:szCs w:val="23"/>
    </w:rPr>
  </w:style>
  <w:style w:type="paragraph" w:styleId="871" w:customStyle="1">
    <w:name w:val="Оглавление"/>
    <w:basedOn w:val="742"/>
    <w:link w:val="799"/>
    <w:pPr>
      <w:jc w:val="both"/>
      <w:spacing w:before="900" w:after="42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72" w:customStyle="1">
    <w:name w:val="Основной текст (8)1"/>
    <w:basedOn w:val="742"/>
    <w:link w:val="802"/>
    <w:pPr>
      <w:ind w:hanging="1340"/>
      <w:jc w:val="center"/>
      <w:spacing w:before="240" w:after="36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73" w:customStyle="1">
    <w:name w:val="Основной текст (9)1"/>
    <w:basedOn w:val="742"/>
    <w:link w:val="804"/>
    <w:pPr>
      <w:jc w:val="both"/>
      <w:spacing w:before="60" w:after="60" w:line="274" w:lineRule="exac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74" w:customStyle="1">
    <w:name w:val="Основной текст (11)"/>
    <w:basedOn w:val="742"/>
    <w:link w:val="820"/>
    <w:pPr>
      <w:jc w:val="both"/>
      <w:spacing w:after="0" w:line="274" w:lineRule="exact"/>
      <w:shd w:val="clear" w:color="auto" w:fill="ffffff"/>
    </w:pPr>
    <w:rPr>
      <w:sz w:val="23"/>
      <w:szCs w:val="23"/>
    </w:rPr>
  </w:style>
  <w:style w:type="paragraph" w:styleId="875" w:customStyle="1">
    <w:name w:val="Основной текст (10)"/>
    <w:basedOn w:val="742"/>
    <w:link w:val="821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876" w:customStyle="1">
    <w:name w:val="Подпись к таблице (2)"/>
    <w:basedOn w:val="742"/>
    <w:link w:val="822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77" w:customStyle="1">
    <w:name w:val="Основной текст (12)"/>
    <w:basedOn w:val="742"/>
    <w:link w:val="824"/>
    <w:pPr>
      <w:jc w:val="both"/>
      <w:spacing w:after="0" w:line="187" w:lineRule="exact"/>
      <w:shd w:val="clear" w:color="auto" w:fill="ffffff"/>
    </w:pPr>
    <w:rPr>
      <w:rFonts w:ascii="Times New Roman" w:hAnsi="Times New Roman" w:eastAsia="Times New Roman" w:cs="Times New Roman"/>
      <w:sz w:val="15"/>
      <w:szCs w:val="15"/>
    </w:rPr>
  </w:style>
  <w:style w:type="paragraph" w:styleId="878" w:customStyle="1">
    <w:name w:val="Основной текст (14)"/>
    <w:basedOn w:val="742"/>
    <w:link w:val="825"/>
    <w:pPr>
      <w:spacing w:after="0" w:line="0" w:lineRule="atLeast"/>
      <w:shd w:val="clear" w:color="auto" w:fill="ffffff"/>
    </w:pPr>
    <w:rPr>
      <w:sz w:val="16"/>
      <w:szCs w:val="16"/>
    </w:rPr>
  </w:style>
  <w:style w:type="paragraph" w:styleId="879" w:customStyle="1">
    <w:name w:val="Основной текст (13)"/>
    <w:basedOn w:val="742"/>
    <w:link w:val="826"/>
    <w:pPr>
      <w:jc w:val="both"/>
      <w:spacing w:after="0" w:line="0" w:lineRule="atLeast"/>
      <w:shd w:val="clear" w:color="auto" w:fill="ffffff"/>
    </w:pPr>
    <w:rPr>
      <w:rFonts w:ascii="SimSun" w:hAnsi="SimSun" w:eastAsia="SimSun" w:cs="SimSun"/>
      <w:sz w:val="14"/>
      <w:szCs w:val="14"/>
    </w:rPr>
  </w:style>
  <w:style w:type="paragraph" w:styleId="880" w:customStyle="1">
    <w:name w:val="Основной текст (15)"/>
    <w:basedOn w:val="742"/>
    <w:link w:val="840"/>
    <w:pPr>
      <w:spacing w:after="0" w:line="288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881" w:customStyle="1">
    <w:name w:val="Заголовок №2"/>
    <w:basedOn w:val="742"/>
    <w:link w:val="842"/>
    <w:pPr>
      <w:spacing w:before="540" w:after="60" w:line="0" w:lineRule="atLeast"/>
      <w:shd w:val="clear" w:color="auto" w:fill="ffffff"/>
      <w:outlineLvl w:val="1"/>
    </w:pPr>
    <w:rPr>
      <w:rFonts w:ascii="Times New Roman" w:hAnsi="Times New Roman" w:eastAsia="Times New Roman" w:cs="Times New Roman"/>
      <w:sz w:val="23"/>
      <w:szCs w:val="23"/>
    </w:rPr>
  </w:style>
  <w:style w:type="paragraph" w:styleId="882" w:customStyle="1">
    <w:name w:val="Заголовок №2 (2)"/>
    <w:basedOn w:val="742"/>
    <w:link w:val="843"/>
    <w:pPr>
      <w:spacing w:before="60" w:after="2280" w:line="0" w:lineRule="atLeast"/>
      <w:shd w:val="clear" w:color="auto" w:fill="ffffff"/>
      <w:outlineLvl w:val="1"/>
    </w:pPr>
    <w:rPr>
      <w:rFonts w:ascii="SimSun" w:hAnsi="SimSun" w:eastAsia="SimSun" w:cs="SimSun"/>
      <w:sz w:val="19"/>
      <w:szCs w:val="19"/>
    </w:rPr>
  </w:style>
  <w:style w:type="paragraph" w:styleId="883" w:customStyle="1">
    <w:name w:val="Подпись к таблице (3)"/>
    <w:basedOn w:val="742"/>
    <w:link w:val="846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84" w:customStyle="1">
    <w:name w:val="Подпись к таблице (4)"/>
    <w:basedOn w:val="742"/>
    <w:link w:val="848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3"/>
      <w:szCs w:val="23"/>
    </w:rPr>
  </w:style>
  <w:style w:type="paragraph" w:styleId="885" w:customStyle="1">
    <w:name w:val="Основной текст (16)"/>
    <w:basedOn w:val="742"/>
    <w:link w:val="851"/>
    <w:pPr>
      <w:spacing w:after="0" w:line="283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886" w:customStyle="1">
    <w:name w:val="Основной текст (17)"/>
    <w:basedOn w:val="742"/>
    <w:link w:val="853"/>
    <w:pPr>
      <w:jc w:val="both"/>
      <w:spacing w:after="0" w:line="211" w:lineRule="exact"/>
      <w:shd w:val="clear" w:color="auto" w:fill="ffffff"/>
    </w:pPr>
    <w:rPr>
      <w:rFonts w:ascii="Times New Roman" w:hAnsi="Times New Roman" w:eastAsia="Times New Roman" w:cs="Times New Roman"/>
      <w:sz w:val="17"/>
      <w:szCs w:val="17"/>
    </w:rPr>
  </w:style>
  <w:style w:type="paragraph" w:styleId="887" w:customStyle="1">
    <w:name w:val="Основной текст (19)"/>
    <w:basedOn w:val="742"/>
    <w:link w:val="854"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888" w:customStyle="1">
    <w:name w:val="Основной текст (20)"/>
    <w:basedOn w:val="742"/>
    <w:link w:val="855"/>
    <w:pPr>
      <w:spacing w:after="0" w:line="0" w:lineRule="atLeast"/>
      <w:shd w:val="clear" w:color="auto" w:fill="ffffff"/>
    </w:pPr>
    <w:rPr>
      <w:sz w:val="18"/>
      <w:szCs w:val="18"/>
    </w:rPr>
  </w:style>
  <w:style w:type="paragraph" w:styleId="889" w:customStyle="1">
    <w:name w:val="Основной текст (18)"/>
    <w:basedOn w:val="742"/>
    <w:link w:val="856"/>
    <w:pPr>
      <w:jc w:val="both"/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17"/>
      <w:szCs w:val="17"/>
    </w:rPr>
  </w:style>
  <w:style w:type="paragraph" w:styleId="890" w:customStyle="1">
    <w:name w:val="Основной текст (21)"/>
    <w:basedOn w:val="742"/>
    <w:link w:val="857"/>
    <w:pPr>
      <w:spacing w:after="0" w:line="230" w:lineRule="exact"/>
      <w:shd w:val="clear" w:color="auto" w:fill="ffffff"/>
    </w:pPr>
    <w:rPr>
      <w:rFonts w:ascii="Times New Roman" w:hAnsi="Times New Roman" w:eastAsia="Times New Roman" w:cs="Times New Roman"/>
      <w:sz w:val="19"/>
      <w:szCs w:val="19"/>
    </w:rPr>
  </w:style>
  <w:style w:type="paragraph" w:styleId="891" w:customStyle="1">
    <w:name w:val="Основной текст (22)"/>
    <w:basedOn w:val="742"/>
    <w:link w:val="861"/>
    <w:pPr>
      <w:spacing w:after="0" w:line="0" w:lineRule="atLeast"/>
      <w:shd w:val="clear" w:color="auto" w:fill="ffffff"/>
    </w:pPr>
    <w:rPr>
      <w:sz w:val="23"/>
      <w:szCs w:val="23"/>
    </w:rPr>
  </w:style>
  <w:style w:type="paragraph" w:styleId="892">
    <w:name w:val="Title"/>
    <w:basedOn w:val="742"/>
    <w:link w:val="893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93" w:customStyle="1">
    <w:name w:val="Заголовок Знак"/>
    <w:basedOn w:val="744"/>
    <w:link w:val="892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94" w:customStyle="1">
    <w:name w:val="Абзац списка Знак"/>
    <w:link w:val="752"/>
    <w:uiPriority w:val="34"/>
    <w:rPr>
      <w:rFonts w:ascii="Arial" w:hAnsi="Arial" w:eastAsia="Times New Roman" w:cs="Times New Roman"/>
      <w:sz w:val="24"/>
      <w:szCs w:val="20"/>
      <w:lang w:eastAsia="ru-RU"/>
    </w:rPr>
  </w:style>
  <w:style w:type="paragraph" w:styleId="895" w:customStyle="1">
    <w:name w:val="Text"/>
    <w:basedOn w:val="742"/>
    <w:pPr>
      <w:spacing w:after="24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896" w:customStyle="1">
    <w:name w:val="text"/>
    <w:basedOn w:val="742"/>
    <w:pPr>
      <w:spacing w:after="24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7" w:customStyle="1">
    <w:name w:val="Название1"/>
    <w:basedOn w:val="742"/>
    <w:qFormat/>
    <w:pPr>
      <w:ind w:left="720"/>
      <w:jc w:val="center"/>
      <w:spacing w:after="120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numbering" w:styleId="898" w:customStyle="1">
    <w:name w:val="1 / 1.1 / 1.1.12"/>
    <w:basedOn w:val="746"/>
    <w:next w:val="899"/>
    <w:uiPriority w:val="99"/>
    <w:unhideWhenUsed/>
    <w:pPr>
      <w:numPr>
        <w:ilvl w:val="0"/>
        <w:numId w:val="5"/>
      </w:numPr>
    </w:pPr>
  </w:style>
  <w:style w:type="numbering" w:styleId="899">
    <w:name w:val="Outline List 2"/>
    <w:basedOn w:val="746"/>
    <w:uiPriority w:val="99"/>
    <w:semiHidden/>
    <w:unhideWhenUsed/>
  </w:style>
  <w:style w:type="paragraph" w:styleId="900" w:customStyle="1">
    <w:name w:val="Style1"/>
    <w:basedOn w:val="742"/>
    <w:link w:val="901"/>
    <w:qFormat/>
    <w:pPr>
      <w:numPr>
        <w:ilvl w:val="1"/>
        <w:numId w:val="7"/>
      </w:numPr>
      <w:ind w:hanging="600"/>
      <w:jc w:val="both"/>
      <w:spacing w:before="120" w:after="120" w:line="240" w:lineRule="auto"/>
      <w:tabs>
        <w:tab w:val="left" w:pos="720" w:leader="none"/>
      </w:tabs>
    </w:pPr>
    <w:rPr>
      <w:rFonts w:ascii="Arial" w:hAnsi="Arial" w:eastAsia="Times New Roman" w:cs="Arial"/>
    </w:rPr>
  </w:style>
  <w:style w:type="character" w:styleId="901" w:customStyle="1">
    <w:name w:val="Style1 Char"/>
    <w:link w:val="900"/>
    <w:rPr>
      <w:rFonts w:ascii="Arial" w:hAnsi="Arial" w:eastAsia="Times New Roman" w:cs="Arial"/>
    </w:rPr>
  </w:style>
  <w:style w:type="character" w:styleId="902" w:customStyle="1">
    <w:name w:val="Font Style18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styleId="903" w:customStyle="1">
    <w:name w:val="Font Style19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styleId="904" w:customStyle="1">
    <w:name w:val="Style6"/>
    <w:basedOn w:val="742"/>
    <w:uiPriority w:val="99"/>
    <w:pPr>
      <w:jc w:val="both"/>
      <w:spacing w:after="0" w:line="233" w:lineRule="exact"/>
      <w:widowControl w:val="off"/>
    </w:pPr>
    <w:rPr>
      <w:rFonts w:ascii="Times New Roman" w:hAnsi="Times New Roman" w:eastAsia="Times New Roman" w:cs="Times New Roman"/>
      <w:color w:val="000000" w:themeColor="text1"/>
      <w:sz w:val="24"/>
      <w:szCs w:val="24"/>
      <w:lang w:eastAsia="ru-RU"/>
    </w:rPr>
  </w:style>
  <w:style w:type="paragraph" w:styleId="905" w:customStyle="1">
    <w:name w:val="Style2"/>
    <w:basedOn w:val="742"/>
    <w:link w:val="907"/>
    <w:qFormat/>
    <w:pPr>
      <w:numPr>
        <w:ilvl w:val="0"/>
        <w:numId w:val="8"/>
      </w:numPr>
      <w:jc w:val="center"/>
      <w:keepNext/>
      <w:spacing w:after="0" w:line="240" w:lineRule="auto"/>
      <w:outlineLvl w:val="0"/>
    </w:pPr>
    <w:rPr>
      <w:rFonts w:eastAsia="Times New Roman" w:cs="Times New Roman"/>
      <w:b/>
      <w:color w:val="000000" w:themeColor="text1"/>
      <w:sz w:val="24"/>
      <w:szCs w:val="24"/>
      <w:lang w:eastAsia="ru-RU"/>
    </w:rPr>
  </w:style>
  <w:style w:type="paragraph" w:styleId="906" w:customStyle="1">
    <w:name w:val="Style3"/>
    <w:basedOn w:val="752"/>
    <w:link w:val="909"/>
    <w:qFormat/>
    <w:pPr>
      <w:numPr>
        <w:ilvl w:val="1"/>
        <w:numId w:val="8"/>
      </w:numPr>
      <w:contextualSpacing w:val="0"/>
      <w:ind w:left="360"/>
      <w:jc w:val="both"/>
      <w:spacing w:before="240" w:after="240" w:line="276" w:lineRule="auto"/>
    </w:pPr>
    <w:rPr>
      <w:rFonts w:asciiTheme="minorHAnsi" w:hAnsiTheme="minorHAnsi" w:eastAsiaTheme="minorHAnsi"/>
      <w:color w:val="000000" w:themeColor="text1"/>
      <w:szCs w:val="24"/>
      <w:lang w:eastAsia="en-US"/>
    </w:rPr>
  </w:style>
  <w:style w:type="character" w:styleId="907" w:customStyle="1">
    <w:name w:val="Style2 Char"/>
    <w:basedOn w:val="744"/>
    <w:link w:val="905"/>
    <w:rPr>
      <w:rFonts w:eastAsia="Times New Roman" w:cs="Times New Roman"/>
      <w:b/>
      <w:color w:val="000000" w:themeColor="text1"/>
      <w:sz w:val="24"/>
      <w:szCs w:val="24"/>
      <w:lang w:eastAsia="ru-RU"/>
    </w:rPr>
  </w:style>
  <w:style w:type="paragraph" w:styleId="908" w:customStyle="1">
    <w:name w:val="Style5"/>
    <w:basedOn w:val="906"/>
    <w:link w:val="911"/>
    <w:qFormat/>
    <w:pPr>
      <w:numPr>
        <w:ilvl w:val="2"/>
      </w:numPr>
    </w:pPr>
  </w:style>
  <w:style w:type="character" w:styleId="909" w:customStyle="1">
    <w:name w:val="Style3 Char"/>
    <w:basedOn w:val="744"/>
    <w:link w:val="906"/>
    <w:rPr>
      <w:rFonts w:cs="Times New Roman"/>
      <w:color w:val="000000" w:themeColor="text1"/>
      <w:sz w:val="24"/>
      <w:szCs w:val="24"/>
    </w:rPr>
  </w:style>
  <w:style w:type="paragraph" w:styleId="910" w:customStyle="1">
    <w:name w:val="Style7"/>
    <w:basedOn w:val="752"/>
    <w:link w:val="913"/>
    <w:qFormat/>
    <w:pPr>
      <w:contextualSpacing w:val="0"/>
      <w:ind w:left="0"/>
      <w:jc w:val="both"/>
      <w:spacing w:before="120" w:after="120" w:line="276" w:lineRule="auto"/>
    </w:pPr>
    <w:rPr>
      <w:rFonts w:asciiTheme="minorHAnsi" w:hAnsiTheme="minorHAnsi" w:eastAsiaTheme="minorHAnsi"/>
      <w:color w:val="000000" w:themeColor="text1"/>
      <w:szCs w:val="24"/>
      <w:lang w:eastAsia="en-US"/>
    </w:rPr>
  </w:style>
  <w:style w:type="character" w:styleId="911" w:customStyle="1">
    <w:name w:val="Style5 Char"/>
    <w:basedOn w:val="909"/>
    <w:link w:val="908"/>
    <w:rPr>
      <w:rFonts w:cs="Times New Roman"/>
      <w:color w:val="000000" w:themeColor="text1"/>
      <w:sz w:val="24"/>
      <w:szCs w:val="24"/>
    </w:rPr>
  </w:style>
  <w:style w:type="paragraph" w:styleId="912" w:customStyle="1">
    <w:name w:val="Style8"/>
    <w:basedOn w:val="900"/>
    <w:link w:val="914"/>
    <w:qFormat/>
    <w:pPr>
      <w:numPr>
        <w:ilvl w:val="0"/>
        <w:numId w:val="0"/>
      </w:numPr>
      <w:contextualSpacing/>
      <w:spacing w:after="240" w:line="360" w:lineRule="auto"/>
      <w:tabs>
        <w:tab w:val="clear" w:pos="720" w:leader="none"/>
      </w:tabs>
    </w:pPr>
    <w:rPr>
      <w:color w:val="000000" w:themeColor="text1"/>
      <w:sz w:val="24"/>
      <w:lang w:val="en-US"/>
    </w:rPr>
  </w:style>
  <w:style w:type="character" w:styleId="913" w:customStyle="1">
    <w:name w:val="Style7 Char"/>
    <w:basedOn w:val="744"/>
    <w:link w:val="910"/>
    <w:rPr>
      <w:rFonts w:cs="Times New Roman"/>
      <w:color w:val="000000" w:themeColor="text1"/>
      <w:sz w:val="24"/>
      <w:szCs w:val="24"/>
    </w:rPr>
  </w:style>
  <w:style w:type="character" w:styleId="914" w:customStyle="1">
    <w:name w:val="Style8 Char"/>
    <w:basedOn w:val="901"/>
    <w:link w:val="912"/>
    <w:rPr>
      <w:rFonts w:ascii="Arial" w:hAnsi="Arial" w:eastAsia="Times New Roman" w:cs="Arial"/>
      <w:color w:val="000000" w:themeColor="text1"/>
      <w:sz w:val="24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office@bashesk.ru" TargetMode="External"/><Relationship Id="rId13" Type="http://schemas.openxmlformats.org/officeDocument/2006/relationships/hyperlink" Target="http://www.bashes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2CB28B7B01834FAE8E667570EB3ECE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A24060-8E1B-4B3B-A945-37877797A527}"/>
      </w:docPartPr>
      <w:docPartBody>
        <w:p>
          <w:pPr>
            <w:pStyle w:val="1351"/>
          </w:pPr>
          <w:r>
            <w:rPr>
              <w:rStyle w:val="1350"/>
            </w:rPr>
            <w:t xml:space="preserve">[Организация]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1346"/>
    <w:next w:val="1346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1347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1346"/>
    <w:next w:val="1346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1347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1346"/>
    <w:next w:val="1346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1347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1346"/>
    <w:next w:val="1346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1347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1346"/>
    <w:next w:val="1346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1347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1346"/>
    <w:next w:val="1346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1347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1346"/>
    <w:next w:val="1346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1347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1346"/>
    <w:next w:val="1346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1347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1346"/>
    <w:next w:val="1346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1347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1346"/>
    <w:uiPriority w:val="34"/>
    <w:qFormat/>
    <w:pPr>
      <w:contextualSpacing/>
      <w:ind w:left="720"/>
    </w:p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1346"/>
    <w:next w:val="1346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1347"/>
    <w:link w:val="271"/>
    <w:uiPriority w:val="10"/>
    <w:rPr>
      <w:sz w:val="48"/>
      <w:szCs w:val="48"/>
    </w:rPr>
  </w:style>
  <w:style w:type="paragraph" w:styleId="273">
    <w:name w:val="Subtitle"/>
    <w:basedOn w:val="1346"/>
    <w:next w:val="1346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1347"/>
    <w:link w:val="273"/>
    <w:uiPriority w:val="11"/>
    <w:rPr>
      <w:sz w:val="24"/>
      <w:szCs w:val="24"/>
    </w:rPr>
  </w:style>
  <w:style w:type="paragraph" w:styleId="275">
    <w:name w:val="Quote"/>
    <w:basedOn w:val="1346"/>
    <w:next w:val="1346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1346"/>
    <w:next w:val="1346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1346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1347"/>
    <w:link w:val="279"/>
    <w:uiPriority w:val="99"/>
  </w:style>
  <w:style w:type="paragraph" w:styleId="281">
    <w:name w:val="Footer"/>
    <w:basedOn w:val="1346"/>
    <w:link w:val="2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1347"/>
    <w:link w:val="281"/>
    <w:uiPriority w:val="99"/>
  </w:style>
  <w:style w:type="paragraph" w:styleId="283">
    <w:name w:val="Caption"/>
    <w:basedOn w:val="1346"/>
    <w:next w:val="13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283"/>
    <w:link w:val="281"/>
    <w:uiPriority w:val="99"/>
  </w:style>
  <w:style w:type="table" w:styleId="285">
    <w:name w:val="Table Grid"/>
    <w:basedOn w:val="13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13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13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13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13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385">
    <w:name w:val="List Table 7 Colorful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386">
    <w:name w:val="List Table 7 Colorful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387">
    <w:name w:val="List Table 7 Colorful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388">
    <w:name w:val="List Table 7 Colorful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389">
    <w:name w:val="List Table 7 Colorful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390">
    <w:name w:val="Lined - Accent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2">
    <w:name w:val="Lined - Accent 2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93">
    <w:name w:val="Lined - Accent 3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94">
    <w:name w:val="Lined - Accent 4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95">
    <w:name w:val="Lined - Accent 5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96">
    <w:name w:val="Lined - Accent 6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97">
    <w:name w:val="Bordered &amp; Lined - Accent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9">
    <w:name w:val="Bordered &amp; Lined - Accent 2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00">
    <w:name w:val="Bordered &amp; Lined - Accent 3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01">
    <w:name w:val="Bordered &amp; Lined - Accent 4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02">
    <w:name w:val="Bordered &amp; Lined - Accent 5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03">
    <w:name w:val="Bordered &amp; Lined - Accent 6"/>
    <w:basedOn w:val="13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04">
    <w:name w:val="Bordered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13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1346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1347"/>
    <w:uiPriority w:val="99"/>
    <w:unhideWhenUsed/>
    <w:rPr>
      <w:vertAlign w:val="superscript"/>
    </w:rPr>
  </w:style>
  <w:style w:type="paragraph" w:styleId="415">
    <w:name w:val="endnote text"/>
    <w:basedOn w:val="1346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1347"/>
    <w:uiPriority w:val="99"/>
    <w:semiHidden/>
    <w:unhideWhenUsed/>
    <w:rPr>
      <w:vertAlign w:val="superscript"/>
    </w:rPr>
  </w:style>
  <w:style w:type="paragraph" w:styleId="418">
    <w:name w:val="toc 1"/>
    <w:basedOn w:val="1346"/>
    <w:next w:val="1346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1346"/>
    <w:next w:val="1346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1346"/>
    <w:next w:val="1346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1346"/>
    <w:next w:val="1346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1346"/>
    <w:next w:val="1346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1346"/>
    <w:next w:val="1346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1346"/>
    <w:next w:val="1346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1346"/>
    <w:next w:val="1346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1346"/>
    <w:next w:val="1346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1346"/>
    <w:next w:val="1346"/>
    <w:uiPriority w:val="99"/>
    <w:unhideWhenUsed/>
    <w:pPr>
      <w:spacing w:after="0" w:afterAutospacing="0"/>
    </w:pPr>
  </w:style>
  <w:style w:type="paragraph" w:styleId="1346" w:default="1">
    <w:name w:val="Normal"/>
    <w:qFormat/>
  </w:style>
  <w:style w:type="character" w:styleId="1347" w:default="1">
    <w:name w:val="Default Paragraph Font"/>
    <w:uiPriority w:val="1"/>
    <w:semiHidden/>
    <w:unhideWhenUsed/>
  </w:style>
  <w:style w:type="table" w:styleId="13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49" w:default="1">
    <w:name w:val="No List"/>
    <w:uiPriority w:val="99"/>
    <w:semiHidden/>
    <w:unhideWhenUsed/>
  </w:style>
  <w:style w:type="character" w:styleId="1350">
    <w:name w:val="Placeholder Text"/>
    <w:basedOn w:val="1347"/>
    <w:uiPriority w:val="99"/>
    <w:semiHidden/>
  </w:style>
  <w:style w:type="paragraph" w:styleId="1351" w:customStyle="1">
    <w:name w:val="2CB28B7B01834FAE8E667570EB3ECED1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74DC4-92F3-45D2-A7BA-15125045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ООО "ЭСКБ"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Хисматуллина Светлана Александровна</dc:creator>
  <cp:lastModifiedBy>Скорнякова Екатерина Юрьевна</cp:lastModifiedBy>
  <cp:revision>4</cp:revision>
  <dcterms:created xsi:type="dcterms:W3CDTF">2026-05-05T11:14:00Z</dcterms:created>
  <dcterms:modified xsi:type="dcterms:W3CDTF">2026-05-15T10:37:27Z</dcterms:modified>
</cp:coreProperties>
</file>